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C1" w:rsidRDefault="00A523C1" w:rsidP="00A523C1">
      <w:pPr>
        <w:pStyle w:val="3"/>
        <w:rPr>
          <w:rFonts w:eastAsia="Times New Roman"/>
          <w:color w:val="000000"/>
        </w:rPr>
      </w:pPr>
      <w:r>
        <w:rPr>
          <w:rFonts w:eastAsia="Times New Roman"/>
          <w:color w:val="000000"/>
        </w:rPr>
        <w:t>Титульний аркуш</w:t>
      </w: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A523C1" w:rsidRDefault="00A523C1" w:rsidP="00A523C1">
      <w:pPr>
        <w:rPr>
          <w:rFonts w:eastAsia="Times New Roman"/>
          <w:vanish/>
          <w:color w:val="000000"/>
        </w:rPr>
      </w:pPr>
    </w:p>
    <w:tbl>
      <w:tblPr>
        <w:tblW w:w="5000" w:type="pct"/>
        <w:tblLook w:val="04A0"/>
      </w:tblPr>
      <w:tblGrid>
        <w:gridCol w:w="2250"/>
        <w:gridCol w:w="659"/>
        <w:gridCol w:w="3007"/>
        <w:gridCol w:w="659"/>
        <w:gridCol w:w="3750"/>
      </w:tblGrid>
      <w:tr w:rsidR="00A523C1" w:rsidTr="00A523C1">
        <w:tc>
          <w:tcPr>
            <w:tcW w:w="2250" w:type="dxa"/>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Голова правлiння</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3750" w:type="dxa"/>
            <w:tcMar>
              <w:top w:w="60" w:type="dxa"/>
              <w:left w:w="60" w:type="dxa"/>
              <w:bottom w:w="60" w:type="dxa"/>
              <w:right w:w="60" w:type="dxa"/>
            </w:tcMar>
            <w:vAlign w:val="bottom"/>
            <w:hideMark/>
          </w:tcPr>
          <w:p w:rsidR="00A523C1" w:rsidRDefault="00A523C1">
            <w:pPr>
              <w:jc w:val="center"/>
              <w:rPr>
                <w:rFonts w:eastAsia="Times New Roman"/>
                <w:color w:val="000000"/>
              </w:rPr>
            </w:pPr>
            <w:r>
              <w:rPr>
                <w:rFonts w:eastAsia="Times New Roman"/>
                <w:color w:val="000000"/>
              </w:rPr>
              <w:t>Маркуш Михайло Васильович</w:t>
            </w:r>
          </w:p>
        </w:tc>
      </w:tr>
      <w:tr w:rsidR="00A523C1" w:rsidTr="00A523C1">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(посада)</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(підпис)</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(прізвище та ініціали керівника)</w:t>
            </w:r>
          </w:p>
        </w:tc>
      </w:tr>
      <w:tr w:rsidR="00A523C1" w:rsidTr="00A523C1">
        <w:tc>
          <w:tcPr>
            <w:tcW w:w="0" w:type="auto"/>
            <w:gridSpan w:val="4"/>
            <w:vMerge w:val="restart"/>
            <w:tcMar>
              <w:top w:w="30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М.П.</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18.04.2016</w:t>
            </w:r>
          </w:p>
        </w:tc>
      </w:tr>
      <w:tr w:rsidR="00A523C1" w:rsidTr="00A523C1">
        <w:tc>
          <w:tcPr>
            <w:tcW w:w="0" w:type="auto"/>
            <w:gridSpan w:val="4"/>
            <w:vMerge/>
            <w:vAlign w:val="center"/>
            <w:hideMark/>
          </w:tcPr>
          <w:p w:rsidR="00A523C1" w:rsidRDefault="00A523C1">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(дата)</w:t>
            </w:r>
          </w:p>
        </w:tc>
      </w:tr>
    </w:tbl>
    <w:p w:rsidR="00A523C1" w:rsidRDefault="00A523C1" w:rsidP="00A523C1">
      <w:pPr>
        <w:rPr>
          <w:rFonts w:eastAsia="Times New Roman"/>
          <w:color w:val="000000"/>
        </w:rPr>
      </w:pPr>
    </w:p>
    <w:p w:rsidR="00A523C1" w:rsidRDefault="00A523C1" w:rsidP="00A523C1">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2015 рік </w:t>
      </w:r>
    </w:p>
    <w:p w:rsidR="00A523C1" w:rsidRDefault="00A523C1" w:rsidP="00A523C1">
      <w:pPr>
        <w:pStyle w:val="3"/>
        <w:rPr>
          <w:rFonts w:eastAsia="Times New Roman"/>
          <w:color w:val="000000"/>
        </w:rPr>
      </w:pPr>
      <w:r>
        <w:rPr>
          <w:rFonts w:eastAsia="Times New Roman"/>
          <w:color w:val="000000"/>
        </w:rPr>
        <w:t>I. Загальні відомості</w:t>
      </w: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1. Повне найменування емітента</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Публiчне акцiонерне товариство "Райагротехсервiс" </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2. Організаційно-правова форма</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Публічне акціонерне товариство</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3. Код за ЄДРПОУ</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20430300</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4. Місцезнаходження</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Закарпатська , Тячiвський район, 90564, смт. Тересва , вул. Терешкової, 10/а</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5. Міжміський код, телефон та факс</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(0313)451650 (0313)451650</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6. Електронна поштова адреса</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rajagroteh@emitents.net.ua</w:t>
            </w:r>
          </w:p>
        </w:tc>
      </w:tr>
    </w:tbl>
    <w:p w:rsidR="00A523C1" w:rsidRDefault="00A523C1" w:rsidP="00A523C1">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Look w:val="04A0"/>
      </w:tblPr>
      <w:tblGrid>
        <w:gridCol w:w="9097"/>
        <w:gridCol w:w="1228"/>
      </w:tblGrid>
      <w:tr w:rsidR="00A523C1" w:rsidTr="00A523C1">
        <w:tc>
          <w:tcPr>
            <w:tcW w:w="0" w:type="auto"/>
            <w:tcMar>
              <w:top w:w="60" w:type="dxa"/>
              <w:left w:w="60" w:type="dxa"/>
              <w:bottom w:w="60" w:type="dxa"/>
              <w:right w:w="60" w:type="dxa"/>
            </w:tcMar>
            <w:vAlign w:val="bottom"/>
            <w:hideMark/>
          </w:tcPr>
          <w:p w:rsidR="00A523C1" w:rsidRDefault="00A523C1">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Mar>
              <w:top w:w="60" w:type="dxa"/>
              <w:left w:w="60" w:type="dxa"/>
              <w:bottom w:w="60" w:type="dxa"/>
              <w:right w:w="60" w:type="dxa"/>
            </w:tcMar>
            <w:vAlign w:val="bottom"/>
            <w:hideMark/>
          </w:tcPr>
          <w:p w:rsidR="00A523C1" w:rsidRDefault="00A523C1">
            <w:pPr>
              <w:jc w:val="center"/>
              <w:rPr>
                <w:rFonts w:eastAsia="Times New Roman"/>
                <w:color w:val="000000"/>
              </w:rPr>
            </w:pPr>
            <w:r>
              <w:rPr>
                <w:rFonts w:eastAsia="Times New Roman"/>
                <w:color w:val="000000"/>
              </w:rPr>
              <w:t>07.04.2016</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(дата)</w:t>
            </w:r>
          </w:p>
        </w:tc>
      </w:tr>
    </w:tbl>
    <w:p w:rsidR="00A523C1" w:rsidRDefault="00A523C1" w:rsidP="00A523C1">
      <w:pPr>
        <w:rPr>
          <w:rFonts w:eastAsia="Times New Roman"/>
          <w:vanish/>
          <w:color w:val="000000"/>
        </w:rPr>
      </w:pPr>
    </w:p>
    <w:tbl>
      <w:tblPr>
        <w:tblW w:w="5000" w:type="pct"/>
        <w:tblLook w:val="04A0"/>
      </w:tblPr>
      <w:tblGrid>
        <w:gridCol w:w="3767"/>
        <w:gridCol w:w="5168"/>
        <w:gridCol w:w="181"/>
        <w:gridCol w:w="1209"/>
      </w:tblGrid>
      <w:tr w:rsidR="00A523C1" w:rsidTr="00A523C1">
        <w:tc>
          <w:tcPr>
            <w:tcW w:w="0" w:type="auto"/>
            <w:tcMar>
              <w:top w:w="60" w:type="dxa"/>
              <w:left w:w="60" w:type="dxa"/>
              <w:bottom w:w="60" w:type="dxa"/>
              <w:right w:w="60" w:type="dxa"/>
            </w:tcMar>
            <w:vAlign w:val="bottom"/>
            <w:hideMark/>
          </w:tcPr>
          <w:p w:rsidR="00A523C1" w:rsidRDefault="00A523C1">
            <w:pPr>
              <w:rPr>
                <w:rFonts w:eastAsia="Times New Roman"/>
                <w:color w:val="000000"/>
              </w:rPr>
            </w:pPr>
            <w:r>
              <w:rPr>
                <w:rFonts w:eastAsia="Times New Roman"/>
                <w:color w:val="000000"/>
              </w:rPr>
              <w:t>2. Річна інформація опублікована у</w:t>
            </w:r>
          </w:p>
        </w:tc>
        <w:tc>
          <w:tcPr>
            <w:tcW w:w="0" w:type="auto"/>
            <w:tcMar>
              <w:top w:w="60" w:type="dxa"/>
              <w:left w:w="60" w:type="dxa"/>
              <w:bottom w:w="60" w:type="dxa"/>
              <w:right w:w="60" w:type="dxa"/>
            </w:tcMar>
            <w:vAlign w:val="bottom"/>
            <w:hideMark/>
          </w:tcPr>
          <w:p w:rsidR="00A523C1" w:rsidRDefault="00A523C1">
            <w:pPr>
              <w:jc w:val="center"/>
              <w:rPr>
                <w:rFonts w:eastAsia="Times New Roman"/>
                <w:color w:val="000000"/>
              </w:rPr>
            </w:pPr>
            <w:r>
              <w:rPr>
                <w:rFonts w:eastAsia="Times New Roman"/>
                <w:color w:val="000000"/>
              </w:rPr>
              <w:t>Бюлетень " Цiннi папери України" №70(4358)</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0" w:type="auto"/>
            <w:tcMar>
              <w:top w:w="60" w:type="dxa"/>
              <w:left w:w="60" w:type="dxa"/>
              <w:bottom w:w="60" w:type="dxa"/>
              <w:right w:w="60" w:type="dxa"/>
            </w:tcMar>
            <w:vAlign w:val="bottom"/>
            <w:hideMark/>
          </w:tcPr>
          <w:p w:rsidR="00A523C1" w:rsidRDefault="00A523C1">
            <w:pPr>
              <w:jc w:val="center"/>
              <w:rPr>
                <w:rFonts w:eastAsia="Times New Roman"/>
                <w:color w:val="000000"/>
              </w:rPr>
            </w:pPr>
            <w:r>
              <w:rPr>
                <w:rFonts w:eastAsia="Times New Roman"/>
                <w:color w:val="000000"/>
              </w:rPr>
              <w:t>18.04.2016</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(дата)</w:t>
            </w:r>
          </w:p>
        </w:tc>
      </w:tr>
    </w:tbl>
    <w:p w:rsidR="00A523C1" w:rsidRDefault="00A523C1" w:rsidP="00A523C1">
      <w:pPr>
        <w:rPr>
          <w:rFonts w:eastAsia="Times New Roman"/>
          <w:vanish/>
          <w:color w:val="000000"/>
        </w:rPr>
      </w:pPr>
    </w:p>
    <w:tbl>
      <w:tblPr>
        <w:tblW w:w="5000" w:type="pct"/>
        <w:tblLook w:val="04A0"/>
      </w:tblPr>
      <w:tblGrid>
        <w:gridCol w:w="4238"/>
        <w:gridCol w:w="3186"/>
        <w:gridCol w:w="1701"/>
        <w:gridCol w:w="1200"/>
      </w:tblGrid>
      <w:tr w:rsidR="00A523C1" w:rsidTr="00A523C1">
        <w:tc>
          <w:tcPr>
            <w:tcW w:w="0" w:type="auto"/>
            <w:tcMar>
              <w:top w:w="60" w:type="dxa"/>
              <w:left w:w="60" w:type="dxa"/>
              <w:bottom w:w="60" w:type="dxa"/>
              <w:right w:w="60" w:type="dxa"/>
            </w:tcMar>
            <w:vAlign w:val="bottom"/>
            <w:hideMark/>
          </w:tcPr>
          <w:p w:rsidR="00A523C1" w:rsidRDefault="00A523C1">
            <w:pPr>
              <w:rPr>
                <w:rFonts w:eastAsia="Times New Roman"/>
                <w:color w:val="000000"/>
              </w:rPr>
            </w:pPr>
            <w:r>
              <w:rPr>
                <w:rFonts w:eastAsia="Times New Roman"/>
                <w:color w:val="000000"/>
              </w:rPr>
              <w:t>3. Річна інформація розміщена на власній сторінці</w:t>
            </w:r>
          </w:p>
        </w:tc>
        <w:tc>
          <w:tcPr>
            <w:tcW w:w="0" w:type="auto"/>
            <w:tcMar>
              <w:top w:w="60" w:type="dxa"/>
              <w:left w:w="60" w:type="dxa"/>
              <w:bottom w:w="60" w:type="dxa"/>
              <w:right w:w="60" w:type="dxa"/>
            </w:tcMar>
            <w:vAlign w:val="bottom"/>
            <w:hideMark/>
          </w:tcPr>
          <w:p w:rsidR="00A523C1" w:rsidRDefault="00A523C1">
            <w:pPr>
              <w:jc w:val="center"/>
              <w:rPr>
                <w:rFonts w:eastAsia="Times New Roman"/>
                <w:color w:val="000000"/>
              </w:rPr>
            </w:pPr>
            <w:r>
              <w:rPr>
                <w:rFonts w:eastAsia="Times New Roman"/>
                <w:color w:val="000000"/>
              </w:rPr>
              <w:t>www.rajagroteh.emitents.net.ua</w:t>
            </w:r>
          </w:p>
        </w:tc>
        <w:tc>
          <w:tcPr>
            <w:tcW w:w="0" w:type="auto"/>
            <w:tcMar>
              <w:top w:w="60" w:type="dxa"/>
              <w:left w:w="60" w:type="dxa"/>
              <w:bottom w:w="60" w:type="dxa"/>
              <w:right w:w="60" w:type="dxa"/>
            </w:tcMar>
            <w:vAlign w:val="bottom"/>
            <w:hideMark/>
          </w:tcPr>
          <w:p w:rsidR="00A523C1" w:rsidRDefault="00A523C1">
            <w:pPr>
              <w:jc w:val="center"/>
              <w:rPr>
                <w:rFonts w:eastAsia="Times New Roman"/>
                <w:color w:val="000000"/>
              </w:rPr>
            </w:pPr>
            <w:r>
              <w:rPr>
                <w:rFonts w:eastAsia="Times New Roman"/>
                <w:color w:val="000000"/>
              </w:rPr>
              <w:t>в мережі Інтернет</w:t>
            </w:r>
          </w:p>
        </w:tc>
        <w:tc>
          <w:tcPr>
            <w:tcW w:w="0" w:type="auto"/>
            <w:tcMar>
              <w:top w:w="60" w:type="dxa"/>
              <w:left w:w="60" w:type="dxa"/>
              <w:bottom w:w="60" w:type="dxa"/>
              <w:right w:w="60" w:type="dxa"/>
            </w:tcMar>
            <w:vAlign w:val="bottom"/>
            <w:hideMark/>
          </w:tcPr>
          <w:p w:rsidR="00A523C1" w:rsidRDefault="00A523C1">
            <w:pPr>
              <w:jc w:val="center"/>
              <w:rPr>
                <w:rFonts w:eastAsia="Times New Roman"/>
                <w:color w:val="000000"/>
              </w:rPr>
            </w:pPr>
            <w:r>
              <w:rPr>
                <w:rFonts w:eastAsia="Times New Roman"/>
                <w:color w:val="000000"/>
              </w:rPr>
              <w:t>18.04.2016</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(адреса сторінки)</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Style w:val="small-text1"/>
                <w:rFonts w:eastAsia="Times New Roman"/>
                <w:color w:val="000000"/>
              </w:rPr>
              <w:t>(дата)</w:t>
            </w:r>
          </w:p>
        </w:tc>
      </w:tr>
    </w:tbl>
    <w:p w:rsidR="00A523C1" w:rsidRDefault="00A523C1" w:rsidP="00A523C1">
      <w:pPr>
        <w:pStyle w:val="3"/>
        <w:rPr>
          <w:rFonts w:eastAsia="Times New Roman"/>
          <w:color w:val="000000"/>
        </w:rPr>
      </w:pPr>
      <w:r>
        <w:rPr>
          <w:rFonts w:eastAsia="Times New Roman"/>
          <w:b w:val="0"/>
          <w:bCs w:val="0"/>
          <w:color w:val="000000"/>
        </w:rPr>
        <w:br w:type="page"/>
      </w:r>
      <w:r>
        <w:rPr>
          <w:rFonts w:eastAsia="Times New Roman"/>
          <w:color w:val="000000"/>
        </w:rPr>
        <w:lastRenderedPageBreak/>
        <w:t>Зміст</w:t>
      </w:r>
    </w:p>
    <w:tbl>
      <w:tblPr>
        <w:tblW w:w="5000" w:type="pct"/>
        <w:tblLook w:val="04A0"/>
      </w:tblPr>
      <w:tblGrid>
        <w:gridCol w:w="2064"/>
        <w:gridCol w:w="7228"/>
        <w:gridCol w:w="1033"/>
      </w:tblGrid>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 Основні відомості про емітента</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 Інформація про одержані ліцензії (дозволи) на окремі види діяльності</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3. Відомості щодо участі емітента в створенні юридичних осіб</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4. Інформація щодо посади корпоративного секретаря</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5. Інформація про рейтингове агентство</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6. Інформація про засновників та/або учасників емітента та кількість і вартість акцій (розміру часток, паїв)</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3"/>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7. Інформація про посадових осіб емітента:</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 інформація щодо освіти та стажу роботи посадових осіб емітента</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 інформація про володіння посадовими особами емітента акціями емітента</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8. Інформація про осіб, що володіють 10 відсотками та більше акцій емітента</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9. Інформація про загальні збори акціонерів</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10. Інформація про дивіденди</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11. Інформація про юридичних осіб, послугами яких користується емітент</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3"/>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12. Відомості про цінні папери емітента:</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 інформація про випуски акцій емітента</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 інформація про облігації емітента</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3) інформація про інші цінні папери, випущені емітентом</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4) інформація про похідні цінні папери</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5) інформація про викуп власних акцій протягом звітного періоду</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13. Опис бізнесу</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3"/>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14. Інформація про господарську та фінансову діяльність емітента:</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 інформація про основні засоби емітента (за залишковою вартістю)</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 інформація щодо вартості чистих активів емітента</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3) інформація про зобов'язання емітента</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4) інформація про обсяги виробництва та реалізації основних видів продукції</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5) інформація про собівартість реалізованої продукції</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15. Інформація про забезпечення випуску боргових цінних паперів</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16. Відомості щодо особливої інформації та інформації про іпотечні цінні папери, що виникала протягом звітного періоду</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17. Інформація про стан корпоративного управління</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18. Інформація про випуски іпотечних облігацій</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3"/>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19. Інформація про склад, структуру і розмір іпотечного покриття:</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 xml:space="preserve">2) інформація щодо співвідношення розміру іпотечного покриття з розміром (сумою) зобов'язань за іпотечними облігаціями з цим іпотечним покриттям на </w:t>
            </w:r>
            <w:r>
              <w:rPr>
                <w:rFonts w:eastAsia="Times New Roman"/>
                <w:b/>
                <w:bCs/>
                <w:color w:val="000000"/>
              </w:rPr>
              <w:lastRenderedPageBreak/>
              <w:t>кожну дату після змін іпотечних активів у складі іпотечного покриття, які відбулися протягом звітного періоду</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lastRenderedPageBreak/>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21. Інформація про випуски іпотечних сертифікатів</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22. Інформація щодо реєстру іпотечних активів</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23. Основні відомості про ФОН</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24. Інформація про випуски сертифікатів ФОН</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25. Інформація про осіб, що володіють сертифікатами ФОН</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26. Розрахунок вартості чистих активів ФОН</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27. Правила ФОН</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28. Відомості про аудиторський висновок (звіт)</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29. Текст аудиторського висновку (звіту)</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30. Річна фінансова звітність</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31. Річна фінансова звітність, складена відповідно до Міжнародних стандартів бухгалтерського обліку (у разі наявності)</w:t>
            </w:r>
          </w:p>
        </w:tc>
        <w:tc>
          <w:tcPr>
            <w:tcW w:w="500" w:type="pct"/>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X</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32. 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c>
          <w:tcPr>
            <w:tcW w:w="5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33. Примітки</w:t>
            </w:r>
          </w:p>
        </w:tc>
        <w:tc>
          <w:tcPr>
            <w:tcW w:w="4000" w:type="pct"/>
            <w:gridSpan w:val="2"/>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1 Товариство не входить до будь яких об"єднань пiдприємств.</w:t>
            </w:r>
            <w:r>
              <w:rPr>
                <w:rFonts w:eastAsia="Times New Roman"/>
                <w:color w:val="000000"/>
              </w:rPr>
              <w:br/>
              <w:t xml:space="preserve">2.Лiцензiї (дозволи) пiдприємство у звiтному роцi не отримувало </w:t>
            </w:r>
            <w:r>
              <w:rPr>
                <w:rFonts w:eastAsia="Times New Roman"/>
                <w:color w:val="000000"/>
              </w:rPr>
              <w:br/>
              <w:t>3 Послугами рейтингового агенства Товариство не користувалося.</w:t>
            </w:r>
            <w:r>
              <w:rPr>
                <w:rFonts w:eastAsia="Times New Roman"/>
                <w:color w:val="000000"/>
              </w:rPr>
              <w:br/>
              <w:t>4.Товариство не входить до будь яких об"єднань пiдприємств.</w:t>
            </w:r>
            <w:r>
              <w:rPr>
                <w:rFonts w:eastAsia="Times New Roman"/>
                <w:color w:val="000000"/>
              </w:rPr>
              <w:br/>
              <w:t>5.Емiтент в створеннi юридичних осiб –участi не приймав</w:t>
            </w:r>
            <w:r>
              <w:rPr>
                <w:rFonts w:eastAsia="Times New Roman"/>
                <w:color w:val="000000"/>
              </w:rPr>
              <w:br/>
              <w:t>6.Корпоративний секретар вiдсутнiй.</w:t>
            </w:r>
            <w:r>
              <w:rPr>
                <w:rFonts w:eastAsia="Times New Roman"/>
                <w:color w:val="000000"/>
              </w:rPr>
              <w:br/>
              <w:t>7.Особлива iнформацiя не вiдбувалась у звiтному роцi.</w:t>
            </w:r>
            <w:r>
              <w:rPr>
                <w:rFonts w:eastAsia="Times New Roman"/>
                <w:color w:val="000000"/>
              </w:rPr>
              <w:br/>
              <w:t xml:space="preserve">8.Дивiденди у звiтному роцi не нараховувалися та не виплачувалися. </w:t>
            </w:r>
            <w:r>
              <w:rPr>
                <w:rFonts w:eastAsia="Times New Roman"/>
                <w:color w:val="000000"/>
              </w:rPr>
              <w:br/>
              <w:t>9.Послугами третiх осiб пiдприємство не користувалося.</w:t>
            </w:r>
            <w:r>
              <w:rPr>
                <w:rFonts w:eastAsia="Times New Roman"/>
                <w:color w:val="000000"/>
              </w:rPr>
              <w:br/>
              <w:t>10.Товариство не здiйснювало емiсiю:</w:t>
            </w:r>
            <w:r>
              <w:rPr>
                <w:rFonts w:eastAsia="Times New Roman"/>
                <w:color w:val="000000"/>
              </w:rPr>
              <w:br/>
              <w:t xml:space="preserve">процентних, дисконтних, цiльових (безпроцентних) облiгацiй, похiдних та iнших цiнних паперiв, сертифiкатiв ФОН та не має зобов'язань за цими цiнними паперами та фiнансовими iнвестицiями в корпоративнi права. </w:t>
            </w:r>
            <w:r>
              <w:rPr>
                <w:rFonts w:eastAsia="Times New Roman"/>
                <w:color w:val="000000"/>
              </w:rPr>
              <w:br/>
              <w:t xml:space="preserve">11.Товариство протягом звiтнього перiоду не викупало власнi акцiї. </w:t>
            </w:r>
            <w:r>
              <w:rPr>
                <w:rFonts w:eastAsia="Times New Roman"/>
                <w:color w:val="000000"/>
              </w:rPr>
              <w:br/>
              <w:t>12.Кодекс (принципи) корпоративного управлiння на товариствi не прийнятi.</w:t>
            </w:r>
            <w:r>
              <w:rPr>
                <w:rFonts w:eastAsia="Times New Roman"/>
                <w:color w:val="000000"/>
              </w:rPr>
              <w:br/>
              <w:t>13 Звiт про стан об'єкта нерухомостi:</w:t>
            </w:r>
            <w:r>
              <w:rPr>
                <w:rFonts w:eastAsia="Times New Roman"/>
                <w:color w:val="000000"/>
              </w:rPr>
              <w:br/>
              <w:t>(не випускались цiльовi облiгацiї, виконання зобов'язань за якими забезпечене об'єктами нерухомостi).</w:t>
            </w:r>
            <w:r>
              <w:rPr>
                <w:rFonts w:eastAsia="Times New Roman"/>
                <w:color w:val="000000"/>
              </w:rPr>
              <w:br/>
              <w:t xml:space="preserve">14.Товариство не веде дiяльностi, що класифiкується як переробна, добувна </w:t>
            </w:r>
            <w:r>
              <w:rPr>
                <w:rFonts w:eastAsia="Times New Roman"/>
                <w:color w:val="000000"/>
              </w:rPr>
              <w:lastRenderedPageBreak/>
              <w:t>промисловiсть або виробництво та розподiлення електроенергiї, газу та води за класифiкатором видiв економiчної дiяльностi.</w:t>
            </w:r>
            <w:r>
              <w:rPr>
                <w:rFonts w:eastAsia="Times New Roman"/>
                <w:color w:val="000000"/>
              </w:rPr>
              <w:br/>
              <w:t>15.Аудит за 2015 рк не провидився.</w:t>
            </w:r>
          </w:p>
        </w:tc>
      </w:tr>
    </w:tbl>
    <w:p w:rsidR="00A523C1" w:rsidRDefault="00A523C1" w:rsidP="00A523C1">
      <w:pPr>
        <w:pStyle w:val="3"/>
        <w:rPr>
          <w:rFonts w:eastAsia="Times New Roman"/>
          <w:color w:val="000000"/>
        </w:rPr>
      </w:pPr>
      <w:r>
        <w:rPr>
          <w:rFonts w:eastAsia="Times New Roman"/>
          <w:b w:val="0"/>
          <w:bCs w:val="0"/>
          <w:color w:val="000000"/>
        </w:rPr>
        <w:lastRenderedPageBreak/>
        <w:br w:type="page"/>
      </w:r>
      <w:r>
        <w:rPr>
          <w:rFonts w:eastAsia="Times New Roman"/>
          <w:color w:val="000000"/>
        </w:rPr>
        <w:lastRenderedPageBreak/>
        <w:t>III. Основні відомості про емітента</w:t>
      </w: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Повне найменування</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Публiчне акцiонерне товариство "Райагротехсервiс"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ААВ № 217732</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Дата проведення державної реєстрації</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28.02.1995</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Територія (область)</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Закарпатська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Статутний капітал (грн)</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19110</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Відсоток акцій у статутному капіталі, що належить державі</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0</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0</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Середня кількість працівників (осіб)</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3</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68.20 Надання в оренду й експлуатацiю власного чи орендованого нерухомого майна </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46.90 Неспецiалiзована оптова торгiвля </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49.41 Вантажний автомобiльний транспорт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10. Органи управління підприємства</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Органи управлiння розкрито у роздiлi корпоративне управлiння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11. Банки, що обслуговують емітента: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валюті</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ПАТ "УкрСиббанк"</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МФО банку</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351005</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поточний рахунок</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26004432113300</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немає</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МФО банку</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немає</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6) поточний рахунок</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немає</w:t>
            </w:r>
          </w:p>
        </w:tc>
      </w:tr>
    </w:tbl>
    <w:p w:rsidR="00A523C1" w:rsidRDefault="00A523C1" w:rsidP="00A523C1">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Look w:val="04A0"/>
      </w:tblPr>
      <w:tblGrid>
        <w:gridCol w:w="2761"/>
        <w:gridCol w:w="1942"/>
        <w:gridCol w:w="2469"/>
        <w:gridCol w:w="3153"/>
      </w:tblGrid>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xml:space="preserve">Державне пiдприємство "Райагротехсервiс"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20430300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90564Україна смт. Тересва вул. Терешкової, 10/а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A523C1" w:rsidTr="00A523C1">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pStyle w:val="3"/>
        <w:rPr>
          <w:rFonts w:eastAsia="Times New Roman"/>
          <w:color w:val="000000"/>
        </w:rPr>
      </w:pPr>
      <w:r>
        <w:rPr>
          <w:rFonts w:eastAsia="Times New Roman"/>
          <w:color w:val="000000"/>
        </w:rPr>
        <w:t>V. Інформація про посадових осіб емітента</w:t>
      </w:r>
    </w:p>
    <w:p w:rsidR="00A523C1" w:rsidRDefault="00A523C1" w:rsidP="00A523C1">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Голова правлiння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Маркуш Михайло Васильович</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1953</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середньо-спецiальна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40</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Голова правлiння, ВАТ"Райагротехсервiс".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 xml:space="preserve">Згоди на оприлюднення паспортних даних не надавав. </w:t>
            </w:r>
            <w:r>
              <w:rPr>
                <w:rFonts w:eastAsia="Times New Roman"/>
                <w:color w:val="000000"/>
              </w:rPr>
              <w:br/>
              <w:t>Керiвництво поточною дiяльнiстю Товариства здiйснює колегiальний Виконавчий орган Товариства – Правлiння Товариства.</w:t>
            </w:r>
            <w:r>
              <w:rPr>
                <w:rFonts w:eastAsia="Times New Roman"/>
                <w:color w:val="000000"/>
              </w:rPr>
              <w:br/>
              <w:t>Очолює та керує дiяльнiстю колегiального Виконавчого органу Товариства – Голова Виконавчого органу Товариства - Голова Правлiння Товариства.</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r>
            <w:r>
              <w:rPr>
                <w:rFonts w:eastAsia="Times New Roman"/>
                <w:color w:val="000000"/>
              </w:rPr>
              <w:lastRenderedPageBreak/>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Контракт з членом Правлiння та Головою Правлiння укладає (пiдписує) та/або розриває (припиняє) вiд iменi Товариства – Наглядова рада.</w:t>
            </w:r>
            <w:r>
              <w:rPr>
                <w:rFonts w:eastAsia="Times New Roman"/>
                <w:color w:val="000000"/>
              </w:rPr>
              <w:br/>
              <w:t>Вiд iменi Товариства такий контракт пiдписує Голова Наглядової ради чи особа, уповноважена на таке пiдписання Наглядовою радою.</w:t>
            </w:r>
            <w:r>
              <w:rPr>
                <w:rFonts w:eastAsia="Times New Roman"/>
                <w:color w:val="000000"/>
              </w:rPr>
              <w:br/>
              <w:t>До компетенцiї Виконавчого органу належать всi питання дiяльностi Товариства, крiм тих, що вiднесенi</w:t>
            </w:r>
            <w:r>
              <w:rPr>
                <w:rFonts w:eastAsia="Times New Roman"/>
                <w:color w:val="000000"/>
              </w:rPr>
              <w:br/>
              <w:t>до виключної компетенцiї Загальних зборiв та Наглядової ради.</w:t>
            </w:r>
            <w:r>
              <w:rPr>
                <w:rFonts w:eastAsia="Times New Roman"/>
                <w:color w:val="000000"/>
              </w:rPr>
              <w:br/>
              <w:t>Голова Виконавчого органу має повноваження:</w:t>
            </w:r>
            <w:r>
              <w:rPr>
                <w:rFonts w:eastAsia="Times New Roman"/>
                <w:color w:val="000000"/>
              </w:rPr>
              <w:br/>
              <w:t>здiйснювати керiвництво Товариством в межах повноважень, визначених цим Статутом, Положенням «Про Виконавчий орган», контрактом;здiйснювати керiвництво Виконавчим органом, скликати його засiдання, визначати їхнiй порядок денний та голосувати на них;органiзовувати роботу Виконавчого органу з метою виконання ключових технiко-економiчних показникiв ефективностi роботи Товариства, перспективних планiв iнвестицiй та розвитку, iнших планiв Товариства, звiтувати вiд iменi Виконавчого органу про їх виконання;</w:t>
            </w:r>
            <w:r>
              <w:rPr>
                <w:rFonts w:eastAsia="Times New Roman"/>
                <w:color w:val="000000"/>
              </w:rPr>
              <w:br/>
              <w:t>забезпечувати виконання рiшень Загальних зборiв, Наглядової ради, Ревiзiйної комiсiї та Виконавчого органу;</w:t>
            </w:r>
            <w:r>
              <w:rPr>
                <w:rFonts w:eastAsia="Times New Roman"/>
                <w:color w:val="000000"/>
              </w:rPr>
              <w:br/>
              <w:t>здiйснювати повноваження, якi необхiднi для забезпечення нормальної роботи Товариства, згiдно з цим Статутом, внутрiшнiми документами Товариства, чинним законодавством України, або якщо вони передаються Головi Виконавчого органу за рiшенням iнших органiв управлiння Товариства.</w:t>
            </w:r>
            <w:r>
              <w:rPr>
                <w:rFonts w:eastAsia="Times New Roman"/>
                <w:color w:val="000000"/>
              </w:rPr>
              <w:br/>
              <w:t>Посадова особа отримувала вiд Товариства винагороду у виглядi заробiтної плати у розмiрi вiдповiдно до штатного розпису i не надала згоди на розголошення отриманої заробiтної плати, у натуральнiй формi винагороду не отримував.</w:t>
            </w:r>
            <w:r>
              <w:rPr>
                <w:rFonts w:eastAsia="Times New Roman"/>
                <w:color w:val="000000"/>
              </w:rPr>
              <w:br/>
              <w:t>Попереднi посади: Голова правлiння - ВАТ"Райагротехсервiс".</w:t>
            </w:r>
            <w:r>
              <w:rPr>
                <w:rFonts w:eastAsia="Times New Roman"/>
                <w:color w:val="000000"/>
              </w:rPr>
              <w:br/>
              <w:t>Непогашеної судимостi за корисливi та посадовi злочини немає.</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Член правлiння-головний бухгалтер</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Половко Iрина Анатолiївна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1967</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середньо-спецiальна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29</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"Райсiльгосптехнiка", бухгалтер-оператор.</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 xml:space="preserve">Згоди на оприлюднення паспортних даних не надавав. </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t>Компетенцiя Виконавчого органу:</w:t>
            </w:r>
            <w:r>
              <w:rPr>
                <w:rFonts w:eastAsia="Times New Roman"/>
                <w:color w:val="000000"/>
              </w:rPr>
              <w:br/>
              <w:t>здiйснює керiвництво поточною дiяльнiстю;</w:t>
            </w:r>
            <w:r>
              <w:rPr>
                <w:rFonts w:eastAsia="Times New Roman"/>
                <w:color w:val="000000"/>
              </w:rPr>
              <w:br/>
              <w:t>органiзовує розробку та надає на розгляд та затвердження Наглядової ради Товариства ключовi технiко-економiчнi показники ефективностi роботи Товариства, перспективнi плани iнвестицiй та розвитку, iншi плани Товариства, готує та надає звiти про їх виконання;</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Винагороду за виконання обов'язкiв члена правлiння, в тому числi у натуральнiй формi винагороду</w:t>
            </w:r>
            <w:r>
              <w:rPr>
                <w:rFonts w:eastAsia="Times New Roman"/>
                <w:color w:val="000000"/>
              </w:rPr>
              <w:br/>
              <w:t>не отримувала.</w:t>
            </w:r>
            <w:r>
              <w:rPr>
                <w:rFonts w:eastAsia="Times New Roman"/>
                <w:color w:val="000000"/>
              </w:rPr>
              <w:br/>
              <w:t xml:space="preserve">Виконує функцiї головного бухгалтера, члена правлiння згiдно Статуту Товариства та посадової iнструкцiї. Оплата, як головного бухгалтера, згiдно штатного розпису. </w:t>
            </w:r>
            <w:r>
              <w:rPr>
                <w:rFonts w:eastAsia="Times New Roman"/>
                <w:color w:val="000000"/>
              </w:rPr>
              <w:br/>
              <w:t xml:space="preserve">Повноваження та обов'язки головного бухгалтера згiдно з посадовою iнструкцiєю: </w:t>
            </w:r>
            <w:r>
              <w:rPr>
                <w:rFonts w:eastAsia="Times New Roman"/>
                <w:color w:val="000000"/>
              </w:rPr>
              <w:br/>
              <w:t xml:space="preserve">1) забезпечення ведення бухгалтерського облiку, дотримуючись єдиних методологiчних принципiв, встановлених Законом України "Про бухгалтерський облiк та фiнансову звiтнiсть в Українi"; </w:t>
            </w:r>
            <w:r>
              <w:rPr>
                <w:rFonts w:eastAsia="Times New Roman"/>
                <w:color w:val="000000"/>
              </w:rPr>
              <w:br/>
              <w:t xml:space="preserve">2) забезпечення ведення податкового облiку у вiдповiдностi з вимогами Законiв України; 3) органiзацiя контролю за вiдображенням на рахунках бухгалтерського облiку всiх господарських операцiй; </w:t>
            </w:r>
            <w:r>
              <w:rPr>
                <w:rFonts w:eastAsia="Times New Roman"/>
                <w:color w:val="000000"/>
              </w:rPr>
              <w:br/>
              <w:t>4) забезпечення складання на основi даних бухгалтерського облiку фiнансової звiтностi пiдприємства, її пiдписання i надання користувачам.</w:t>
            </w:r>
            <w:r>
              <w:rPr>
                <w:rFonts w:eastAsia="Times New Roman"/>
                <w:color w:val="000000"/>
              </w:rPr>
              <w:br/>
              <w:t>Головний бухгалтер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посади "Райсiльгосптехнiка"- бухгалтер-оператор.</w:t>
            </w:r>
            <w:r>
              <w:rPr>
                <w:rFonts w:eastAsia="Times New Roman"/>
                <w:color w:val="000000"/>
              </w:rPr>
              <w:br/>
              <w:t>Непогашеної судимостi за корисливi та посадовi злочини немає.</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Голова наглядової ради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Малько Марина Михайлiвна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1977</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Вища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19</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Вчитель. Сш. смт.Тересва, Тячiвський район</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 xml:space="preserve">Повноваження та обов'язки Голови Наглядовоїї Ради визначенi Статутом та Положенням про Наглядову раду Товариства. </w:t>
            </w:r>
            <w:r>
              <w:rPr>
                <w:rFonts w:eastAsia="Times New Roman"/>
                <w:color w:val="000000"/>
              </w:rPr>
              <w:br/>
              <w:t>Головним обов'язком голови та членiв наглядової ради є :</w:t>
            </w:r>
            <w:r>
              <w:rPr>
                <w:rFonts w:eastAsia="Times New Roman"/>
                <w:color w:val="000000"/>
              </w:rPr>
              <w:br/>
              <w:t xml:space="preserve">Контроль за дiяльнiстю Виконавчого органу Товариства та захист iнтересiв акцiонерiв Товариства. </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Голова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 xml:space="preserve">Винагороду за посаду голови наглядової ради, в тому числi у натуральнiй формi не отримувала. </w:t>
            </w:r>
            <w:r>
              <w:rPr>
                <w:rFonts w:eastAsia="Times New Roman"/>
                <w:color w:val="000000"/>
              </w:rPr>
              <w:br/>
              <w:t>Попереднi керiвнi посади протягом останнiх 5-ти рокiв вiдсутнi, крiм Голови наглядової ради Товариства.</w:t>
            </w:r>
            <w:r>
              <w:rPr>
                <w:rFonts w:eastAsia="Times New Roman"/>
                <w:color w:val="000000"/>
              </w:rPr>
              <w:br/>
              <w:t>Обiймала посади - вчитель. Сш. смт.Тересва, Тячiвський район.</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Заступник голови наглядової ради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Маркуш Василина Миколаївна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1973</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середньо-спецiальна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23</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Приватний пiдприємець</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Посадова особа не надала згоди на оприлюднення персональних паспортних даних</w:t>
            </w:r>
            <w:r>
              <w:rPr>
                <w:rFonts w:eastAsia="Times New Roman"/>
                <w:color w:val="000000"/>
              </w:rPr>
              <w:br/>
              <w:t>Повноваження та обов'язки Членiв Наглядової Ради визначенi Статутом Товариства</w:t>
            </w:r>
            <w:r>
              <w:rPr>
                <w:rFonts w:eastAsia="Times New Roman"/>
                <w:color w:val="000000"/>
              </w:rPr>
              <w:br/>
              <w:t>Головним обов'язком членiв наглядової ради є:</w:t>
            </w:r>
            <w:r>
              <w:rPr>
                <w:rFonts w:eastAsia="Times New Roman"/>
                <w:color w:val="000000"/>
              </w:rPr>
              <w:br/>
              <w:t>контроль за дiяльнiстю Виконавчого органу Товариства та захист iправ акцiонерiв Товариства.</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t>У трудових вiдносинах з товариством не перебуває</w:t>
            </w:r>
            <w:r>
              <w:rPr>
                <w:rFonts w:eastAsia="Times New Roman"/>
                <w:color w:val="000000"/>
              </w:rPr>
              <w:br/>
              <w:t>Винагороду за посаду заступника голови наглядової ради, в тому числi у натуральнiй формi не отримувала.</w:t>
            </w:r>
            <w:r>
              <w:rPr>
                <w:rFonts w:eastAsia="Times New Roman"/>
                <w:color w:val="000000"/>
              </w:rPr>
              <w:br/>
              <w:t>Попереднi керiвнi посади проягом останнiх 5-ти рокiв:Голова ревiзiйної комiсiї ВАТ"Райагротехсервiс". Приватний пiдприємець.</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Член наглядової ради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Бурдило Василь Михайлович</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1957</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Вища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36</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"Райсiльгосптехнiка"-начальник автоколони.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Повноваження та обов'язки Членiв Наглядової Ради визначенi Статутом Товариства</w:t>
            </w:r>
            <w:r>
              <w:rPr>
                <w:rFonts w:eastAsia="Times New Roman"/>
                <w:color w:val="000000"/>
              </w:rPr>
              <w:br/>
              <w:t>Головним обов'язком членiв наглядової ради є:</w:t>
            </w:r>
            <w:r>
              <w:rPr>
                <w:rFonts w:eastAsia="Times New Roman"/>
                <w:color w:val="000000"/>
              </w:rPr>
              <w:br/>
              <w:t>контроль за дiяльнiстю Виконавчого органу Товариства та захист iправ акцiонерiв Товариства.</w:t>
            </w:r>
            <w:r>
              <w:rPr>
                <w:rFonts w:eastAsia="Times New Roman"/>
                <w:color w:val="000000"/>
              </w:rPr>
              <w:br/>
              <w:t xml:space="preserve">Керується у своїй дiяльностi чинним законодавством України, Статутом товариства , та рiшенням зборiв Товариства. </w:t>
            </w:r>
            <w:r>
              <w:rPr>
                <w:rFonts w:eastAsia="Times New Roman"/>
                <w:color w:val="000000"/>
              </w:rPr>
              <w:br/>
              <w:t xml:space="preserve">Член наглядової ради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 </w:t>
            </w:r>
            <w:r>
              <w:rPr>
                <w:rFonts w:eastAsia="Times New Roman"/>
                <w:color w:val="000000"/>
              </w:rPr>
              <w:br/>
            </w:r>
            <w:r>
              <w:rPr>
                <w:rFonts w:eastAsia="Times New Roman"/>
                <w:color w:val="000000"/>
              </w:rPr>
              <w:lastRenderedPageBreak/>
              <w:t>У трудових вiдносинах з товариством не перебуває</w:t>
            </w:r>
            <w:r>
              <w:rPr>
                <w:rFonts w:eastAsia="Times New Roman"/>
                <w:color w:val="000000"/>
              </w:rPr>
              <w:br/>
              <w:t>Винагороду за посаду члена наглядової ради, в тому числi у натуральнiй формi не отримував.</w:t>
            </w:r>
            <w:r>
              <w:rPr>
                <w:rFonts w:eastAsia="Times New Roman"/>
                <w:color w:val="000000"/>
              </w:rPr>
              <w:br/>
              <w:t>Попереднi посади :"Райсiльгосптехнiка"- начальник автоколони.</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lastRenderedPageBreak/>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Голова ревiзiйної комiсiї</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Котик Марiя Юрiївна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1963</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середня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30</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"Райсiльгосптехнiка", оператор-комп"ютерщик.</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Голова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За виконання обов'язкiв голови ревiзiйної комiсiї, в тому числi винагороду в натуральнiй формi не отримувала</w:t>
            </w:r>
            <w:r>
              <w:rPr>
                <w:rFonts w:eastAsia="Times New Roman"/>
                <w:color w:val="000000"/>
              </w:rPr>
              <w:br/>
              <w:t xml:space="preserve">Керiвних посад протягом 5-ти останнiх рокiв, крiм посади голови ревiзiйної комiсiї не займав. </w:t>
            </w:r>
            <w:r>
              <w:rPr>
                <w:rFonts w:eastAsia="Times New Roman"/>
                <w:color w:val="000000"/>
              </w:rPr>
              <w:br/>
              <w:t>Попереднi посади "Райсiльгосптехнiка"- оператор-комп"ютерщик.</w:t>
            </w:r>
            <w:r>
              <w:rPr>
                <w:rFonts w:eastAsia="Times New Roman"/>
                <w:color w:val="000000"/>
              </w:rPr>
              <w:br/>
              <w:t>Непогашеної судимостi немає до адмiнiстративної вiдповiдальностi не притягався.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w:t>
            </w:r>
            <w:r>
              <w:rPr>
                <w:rFonts w:eastAsia="Times New Roman"/>
                <w:color w:val="000000"/>
                <w:sz w:val="20"/>
                <w:szCs w:val="20"/>
              </w:rPr>
              <w:lastRenderedPageBreak/>
              <w:t xml:space="preserve">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Член ревiзiйної комiсiї</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Петровцi Микола Миколайович</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1976</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вища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20</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Приватний пiдприємець</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За виконання обов'язкiв члена ревiзiйної комiсiї, винагороду, в тому числi в натуральнiй формi не отримував.</w:t>
            </w:r>
            <w:r>
              <w:rPr>
                <w:rFonts w:eastAsia="Times New Roman"/>
                <w:color w:val="000000"/>
              </w:rPr>
              <w:br/>
              <w:t>Керiвних посад, крiм посади члена ревiзйної комiсiї протягом останнiх 5-ти рокiв не займав.Приватний пiдприємець.</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Член ревiзiйної комiсiї</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Малько Iван Iванович</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1958</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середня-спецiальна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35</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ВАТ "Райагротехсервiс, робiтник</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Ревiзiйна комiсiя здiйснює контроль за виконанням Виконавчим органом Товариства законодавства України, Статуту Товариства, рiшень загальних зборiв акцiонерiв та Наглядової ради Товариства з питань фiнансово-господарської дiяльностi, їх вiдповiдностi законодавству України та Статуту Товариства.</w:t>
            </w:r>
            <w:r>
              <w:rPr>
                <w:rFonts w:eastAsia="Times New Roman"/>
                <w:color w:val="000000"/>
              </w:rPr>
              <w:br/>
              <w:t>Матерiали перевiрок ревiзiйна комiсiя надає вищому органу Товариства та наглядовiй радi.</w:t>
            </w:r>
            <w:r>
              <w:rPr>
                <w:rFonts w:eastAsia="Times New Roman"/>
                <w:color w:val="000000"/>
              </w:rPr>
              <w:br/>
              <w:t>Ревiзiйна комiсiя готує висновки на пiдставi рiчних звiтiв та балансiв. Без висновкiв ревiзiйної комiсiї вищий орган Товариства не має права затвердити рiчний баланс.</w:t>
            </w:r>
            <w:r>
              <w:rPr>
                <w:rFonts w:eastAsia="Times New Roman"/>
                <w:color w:val="000000"/>
              </w:rPr>
              <w:br/>
              <w:t>Ревiзiйна комiсiя зобов'язана вимагати скликання позачергових загальних зборiв акцiонерiв, якщо виникла загроза iнтересам Товариства або виявлено зловживання, допущенi посадовими особами Товариства.</w:t>
            </w:r>
            <w:r>
              <w:rPr>
                <w:rFonts w:eastAsia="Times New Roman"/>
                <w:color w:val="000000"/>
              </w:rPr>
              <w:br/>
              <w:t>Член ревiзiйної комiсiї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Товариства.Загальний стаж роботи понад 35 рокiв, ВАТ "Райагротехсервiс- робiтник.</w:t>
            </w:r>
            <w:r>
              <w:rPr>
                <w:rFonts w:eastAsia="Times New Roman"/>
                <w:color w:val="000000"/>
              </w:rPr>
              <w:br/>
              <w:t>За виконання обов'язкiв члена ревiзiйної комiсiї, винагороду, в тому числi в натуральнiй формi не отримував.</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 посада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Заступник голови правлiння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Маркуш Михайло Михайлович</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A523C1" w:rsidTr="00A523C1">
        <w:tc>
          <w:tcPr>
            <w:tcW w:w="0" w:type="auto"/>
            <w:tcMar>
              <w:top w:w="60" w:type="dxa"/>
              <w:left w:w="60" w:type="dxa"/>
              <w:bottom w:w="60" w:type="dxa"/>
              <w:right w:w="60" w:type="dxa"/>
            </w:tcMa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4) рік народження**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1978</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5) освіта**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вища</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6) стаж роботи (років)**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18</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7) найменування підприємства та попередня посада, яку займав**</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Приватний пiдприємець</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22.12.2011 3 роки</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9) Опис</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 xml:space="preserve">Згоди на оприлюднення паспортних даних не надавав. </w:t>
            </w:r>
            <w:r>
              <w:rPr>
                <w:rFonts w:eastAsia="Times New Roman"/>
                <w:color w:val="000000"/>
              </w:rPr>
              <w:br/>
              <w:t>ВИКОНАВЧИЙ ОРГАН ТОВАРИСТВА</w:t>
            </w:r>
            <w:r>
              <w:rPr>
                <w:rFonts w:eastAsia="Times New Roman"/>
                <w:color w:val="000000"/>
              </w:rPr>
              <w:br/>
              <w:t>Керiвництво поточною дiяльнiстю Товариства здiйснює колегiальний Виконавчий орган Товариства – Правлiння Товариства.</w:t>
            </w:r>
            <w:r>
              <w:rPr>
                <w:rFonts w:eastAsia="Times New Roman"/>
                <w:color w:val="000000"/>
              </w:rPr>
              <w:br/>
              <w:t>Виконавчий орган пiдзвiтний Загальним зборам i Наглядовiй радi, органiзовує виконання їх рiшень.</w:t>
            </w:r>
            <w:r>
              <w:rPr>
                <w:rFonts w:eastAsia="Times New Roman"/>
                <w:color w:val="000000"/>
              </w:rPr>
              <w:br/>
              <w:t>Членом Виконавчого органу може бути будь-яка фiзична особа, яка має повну цивiльну дiєздатнiсть i не є членом Наглядової ради чи Ревiзiйної комiсiї.</w:t>
            </w:r>
            <w:r>
              <w:rPr>
                <w:rFonts w:eastAsia="Times New Roman"/>
                <w:color w:val="000000"/>
              </w:rPr>
              <w:br/>
              <w:t>До компетенцiї Виконавчого органу належать всi питання дiяльностi Товариства, крiм тих, що вiднесенi до виключної компетенцiї Загальних зборiв та Наглядової ради.</w:t>
            </w:r>
            <w:r>
              <w:rPr>
                <w:rFonts w:eastAsia="Times New Roman"/>
                <w:color w:val="000000"/>
              </w:rPr>
              <w:br/>
              <w:t>Компетенцiя Виконавчого органу:</w:t>
            </w:r>
            <w:r>
              <w:rPr>
                <w:rFonts w:eastAsia="Times New Roman"/>
                <w:color w:val="000000"/>
              </w:rPr>
              <w:br/>
              <w:t>здiйснює керiвництво поточною дiяльнiстю;</w:t>
            </w:r>
            <w:r>
              <w:rPr>
                <w:rFonts w:eastAsia="Times New Roman"/>
                <w:color w:val="000000"/>
              </w:rPr>
              <w:br/>
              <w:t>органiзовує розробку та надає на розгляд та затвердження Наглядової ради Товариства ключовi технiко-економiчнi показники ефективностi роботи Товариства, рiчнi бiзнес-плани, рiчнi та перспективнi фiнансовi плани (бюджети), рiчнi та перспективнi плани iнвестицiй та розвитку, iншi плани Товариства, готує та надає звiти про їх виконання;</w:t>
            </w:r>
            <w:r>
              <w:rPr>
                <w:rFonts w:eastAsia="Times New Roman"/>
                <w:color w:val="000000"/>
              </w:rPr>
              <w:br/>
              <w:t>забезпечує виконання затверджених Наглядовою радою ключових технiко-економiчних показникiв ефективностi роботи Товариства, рiчних бiзнес-планiв, рiчних та перспективних фiнансових планiв (бюджетiв), рiчних та перспективних планiв iнвестицiй та розвитку, iнших планiв Товариства;</w:t>
            </w:r>
            <w:r>
              <w:rPr>
                <w:rFonts w:eastAsia="Times New Roman"/>
                <w:color w:val="000000"/>
              </w:rPr>
              <w:br/>
              <w:t>виконує рiшення Загальних зборiв, Наглядової ради та Ревiзiйної комiсiї, та звiтує про їх виконання.</w:t>
            </w:r>
            <w:r>
              <w:rPr>
                <w:rFonts w:eastAsia="Times New Roman"/>
                <w:color w:val="000000"/>
              </w:rPr>
              <w:br/>
              <w:t xml:space="preserve">За виконання обов'язкiв заступника голови правлiння посадова особа отримувала вiд Товариства винагороду у виглядi заробiтної плати у розмiрi вiдповiдно до штатного розпису i не надала згоди на розголошення отриманої заробiтної плати, винагороду в натуральнiй формi не отримував.Попереднi посади протягом останнiх 5-ти рокiв- заст.голови правлiння, приватний пiдприємець. </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A523C1" w:rsidRDefault="00A523C1" w:rsidP="00A523C1">
      <w:pPr>
        <w:rPr>
          <w:rFonts w:eastAsia="Times New Roman"/>
          <w:color w:val="000000"/>
        </w:rPr>
        <w:sectPr w:rsidR="00A523C1">
          <w:pgSz w:w="11907" w:h="16840"/>
          <w:pgMar w:top="1134" w:right="851" w:bottom="851" w:left="851" w:header="0" w:footer="0" w:gutter="0"/>
          <w:cols w:space="720"/>
        </w:sectPr>
      </w:pPr>
    </w:p>
    <w:p w:rsidR="00A523C1" w:rsidRDefault="00A523C1" w:rsidP="00A523C1">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Look w:val="04A0"/>
      </w:tblPr>
      <w:tblGrid>
        <w:gridCol w:w="1424"/>
        <w:gridCol w:w="2586"/>
        <w:gridCol w:w="2768"/>
        <w:gridCol w:w="1217"/>
        <w:gridCol w:w="1567"/>
        <w:gridCol w:w="798"/>
        <w:gridCol w:w="1410"/>
        <w:gridCol w:w="1529"/>
        <w:gridCol w:w="1676"/>
      </w:tblGrid>
      <w:tr w:rsidR="00A523C1" w:rsidTr="00A523C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A523C1" w:rsidTr="00A523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9</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Маркуш Михайло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23.1463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Заступник голови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Маркуш Василина Миколаївна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18.0861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Член правлiння-головний бухгалтер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Половко Iрина Анатолiївна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0.1374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Малько Марина Михайлiвна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15.8438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Бурдило Василь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0.0821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Голова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Котик Марiя Юрiївна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0.0821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Петровцi Микола Миколайович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0.0824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Член ревiзiйної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Малько Iван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0.0821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Заступник голови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Маркуш Михайло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10.6057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right"/>
              <w:rPr>
                <w:rFonts w:eastAsia="Times New Roman"/>
                <w:color w:val="000000"/>
                <w:sz w:val="20"/>
                <w:szCs w:val="20"/>
              </w:rPr>
            </w:pPr>
            <w:r>
              <w:rPr>
                <w:rStyle w:val="a4"/>
                <w:rFonts w:eastAsia="Times New Roman"/>
                <w:color w:val="000000"/>
                <w:sz w:val="20"/>
                <w:szCs w:val="20"/>
              </w:rPr>
              <w:lastRenderedPageBreak/>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52360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68.1477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52360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pStyle w:val="small-text"/>
        <w:rPr>
          <w:color w:val="000000"/>
        </w:rPr>
      </w:pPr>
      <w:r>
        <w:rPr>
          <w:color w:val="000000"/>
        </w:rPr>
        <w:t xml:space="preserve">* Зазначається у разі надання згоди фізичної особи на розкриття паспортних даних. </w:t>
      </w:r>
    </w:p>
    <w:p w:rsidR="00A523C1" w:rsidRDefault="00A523C1" w:rsidP="00A523C1">
      <w:pPr>
        <w:rPr>
          <w:rFonts w:eastAsia="Times New Roman"/>
          <w:color w:val="000000"/>
        </w:rPr>
        <w:sectPr w:rsidR="00A523C1">
          <w:pgSz w:w="16840" w:h="11907" w:orient="landscape"/>
          <w:pgMar w:top="1134" w:right="1134"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Look w:val="04A0"/>
      </w:tblPr>
      <w:tblGrid>
        <w:gridCol w:w="2148"/>
        <w:gridCol w:w="1623"/>
        <w:gridCol w:w="2385"/>
        <w:gridCol w:w="1315"/>
        <w:gridCol w:w="1803"/>
        <w:gridCol w:w="848"/>
        <w:gridCol w:w="1481"/>
        <w:gridCol w:w="1579"/>
        <w:gridCol w:w="1793"/>
      </w:tblGrid>
      <w:tr w:rsidR="00A523C1" w:rsidTr="00A523C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A523C1" w:rsidTr="00A523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A523C1" w:rsidTr="00A523C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A523C1" w:rsidTr="00A523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23.1463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17693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18.086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13825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10.6057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8107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Фiзична особа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12117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15.8516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12117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51742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67.6896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51742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pStyle w:val="small-text"/>
        <w:rPr>
          <w:color w:val="000000"/>
        </w:rPr>
      </w:pPr>
      <w:r>
        <w:rPr>
          <w:color w:val="000000"/>
        </w:rPr>
        <w:t xml:space="preserve">* Зазначається: "Фізична особа", якщо фізична особа не дала згоди на розкриття прізвища, ім'я, по батькові. </w:t>
      </w:r>
      <w:r>
        <w:rPr>
          <w:color w:val="000000"/>
        </w:rPr>
        <w:br/>
        <w:t xml:space="preserve">** Заповненювати необов'язково. </w:t>
      </w:r>
    </w:p>
    <w:p w:rsidR="00A523C1" w:rsidRDefault="00A523C1" w:rsidP="00A523C1">
      <w:pPr>
        <w:rPr>
          <w:rFonts w:eastAsia="Times New Roman"/>
          <w:color w:val="000000"/>
        </w:rPr>
        <w:sectPr w:rsidR="00A523C1">
          <w:pgSz w:w="16840" w:h="11907" w:orient="landscape"/>
          <w:pgMar w:top="1134" w:right="1134"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Look w:val="04A0"/>
      </w:tblPr>
      <w:tblGrid>
        <w:gridCol w:w="1530"/>
        <w:gridCol w:w="3516"/>
        <w:gridCol w:w="5279"/>
      </w:tblGrid>
      <w:tr w:rsidR="00A523C1" w:rsidTr="00A523C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позачергові</w:t>
            </w:r>
          </w:p>
        </w:tc>
      </w:tr>
      <w:tr w:rsidR="00A523C1" w:rsidTr="00A523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30.04.2015</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0.00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spacing w:after="240"/>
              <w:rPr>
                <w:rFonts w:eastAsia="Times New Roman"/>
                <w:color w:val="000000"/>
                <w:sz w:val="20"/>
                <w:szCs w:val="20"/>
              </w:rPr>
            </w:pPr>
            <w:r>
              <w:rPr>
                <w:rFonts w:eastAsia="Times New Roman"/>
                <w:color w:val="000000"/>
                <w:sz w:val="20"/>
                <w:szCs w:val="20"/>
              </w:rPr>
              <w:t>Збори не вiдбулися у зв"язку з вiдсутнiстю кворуму.</w:t>
            </w:r>
            <w:r>
              <w:rPr>
                <w:rFonts w:eastAsia="Times New Roman"/>
                <w:color w:val="000000"/>
                <w:sz w:val="20"/>
                <w:szCs w:val="20"/>
              </w:rPr>
              <w:br/>
              <w:t>Порядок денний</w:t>
            </w:r>
            <w:r>
              <w:rPr>
                <w:rFonts w:eastAsia="Times New Roman"/>
                <w:color w:val="000000"/>
                <w:sz w:val="20"/>
                <w:szCs w:val="20"/>
              </w:rPr>
              <w:br/>
              <w:t>1. Про обрання лiчильної комiсiї, голови та секретаря зборiв, затвердження регламенту роботи загальних зборiв акцiонерiв Товариства.</w:t>
            </w:r>
            <w:r>
              <w:rPr>
                <w:rFonts w:eastAsia="Times New Roman"/>
                <w:color w:val="000000"/>
                <w:sz w:val="20"/>
                <w:szCs w:val="20"/>
              </w:rPr>
              <w:br/>
              <w:t xml:space="preserve">2. Прийняття рiшення за наслiдками розгляду звiту Виконавчого органу за 2014 рiк. </w:t>
            </w:r>
            <w:r>
              <w:rPr>
                <w:rFonts w:eastAsia="Times New Roman"/>
                <w:color w:val="000000"/>
                <w:sz w:val="20"/>
                <w:szCs w:val="20"/>
              </w:rPr>
              <w:br/>
              <w:t>3. Прийняття рiшення за наслiдками розгляду звiту Наглядової ради Товариства за 2014 рiк.</w:t>
            </w:r>
            <w:r>
              <w:rPr>
                <w:rFonts w:eastAsia="Times New Roman"/>
                <w:color w:val="000000"/>
                <w:sz w:val="20"/>
                <w:szCs w:val="20"/>
              </w:rPr>
              <w:br/>
              <w:t>4. Прийняття рiшення за наслiдками розгляду звiту Ревiзiйної комiсiї за 2014 рiк.</w:t>
            </w:r>
            <w:r>
              <w:rPr>
                <w:rFonts w:eastAsia="Times New Roman"/>
                <w:color w:val="000000"/>
                <w:sz w:val="20"/>
                <w:szCs w:val="20"/>
              </w:rPr>
              <w:br/>
              <w:t>5. Про затвердження рiчного звiту та балансу Товариства за 2014 рiк.</w:t>
            </w:r>
            <w:r>
              <w:rPr>
                <w:rFonts w:eastAsia="Times New Roman"/>
                <w:color w:val="000000"/>
                <w:sz w:val="20"/>
                <w:szCs w:val="20"/>
              </w:rPr>
              <w:br/>
              <w:t>6. Про розподiл прибутку i збиткiв Товариства за 2014 рiк.</w:t>
            </w:r>
            <w:r>
              <w:rPr>
                <w:rFonts w:eastAsia="Times New Roman"/>
                <w:color w:val="000000"/>
                <w:sz w:val="20"/>
                <w:szCs w:val="20"/>
              </w:rPr>
              <w:br/>
              <w:t>7. Про внесення змiн до Статуту Товариства. Затвердження Статуту Товариства в новiй редакцiї.</w:t>
            </w:r>
            <w:r>
              <w:rPr>
                <w:rFonts w:eastAsia="Times New Roman"/>
                <w:color w:val="000000"/>
                <w:sz w:val="20"/>
                <w:szCs w:val="20"/>
              </w:rPr>
              <w:br/>
              <w:t>8. Визначення уповноваженої особи на пiдписання вiд iменi акцiонерiв Статуту Товариства в новiй редакцiї.</w:t>
            </w:r>
            <w:r>
              <w:rPr>
                <w:rFonts w:eastAsia="Times New Roman"/>
                <w:color w:val="000000"/>
                <w:sz w:val="20"/>
                <w:szCs w:val="20"/>
              </w:rPr>
              <w:br/>
              <w:t>9. Про затвердження Положення "Про Наглядову раду Товариства" в новiй редакцiї.</w:t>
            </w:r>
            <w:r>
              <w:rPr>
                <w:rFonts w:eastAsia="Times New Roman"/>
                <w:color w:val="000000"/>
                <w:sz w:val="20"/>
                <w:szCs w:val="20"/>
              </w:rPr>
              <w:br/>
              <w:t>10. Про затвердження Положення "Про Виконавчий орган" в новiй редакцiї.</w:t>
            </w:r>
            <w:r>
              <w:rPr>
                <w:rFonts w:eastAsia="Times New Roman"/>
                <w:color w:val="000000"/>
                <w:sz w:val="20"/>
                <w:szCs w:val="20"/>
              </w:rPr>
              <w:br/>
              <w:t>11. Про затвердження Положення "Про Загальнi збори" в новiй редакцiї.</w:t>
            </w:r>
            <w:r>
              <w:rPr>
                <w:rFonts w:eastAsia="Times New Roman"/>
                <w:color w:val="000000"/>
                <w:sz w:val="20"/>
                <w:szCs w:val="20"/>
              </w:rPr>
              <w:br/>
              <w:t>12. Прийняття рiшення про припинення повноважень членiв Виконавчого органу Товариста.</w:t>
            </w:r>
            <w:r>
              <w:rPr>
                <w:rFonts w:eastAsia="Times New Roman"/>
                <w:color w:val="000000"/>
                <w:sz w:val="20"/>
                <w:szCs w:val="20"/>
              </w:rPr>
              <w:br/>
              <w:t>13. Прийняття рiшення про припинення повноважень членiв Наглядової ради Товариства.</w:t>
            </w:r>
            <w:r>
              <w:rPr>
                <w:rFonts w:eastAsia="Times New Roman"/>
                <w:color w:val="000000"/>
                <w:sz w:val="20"/>
                <w:szCs w:val="20"/>
              </w:rPr>
              <w:br/>
              <w:t>14. Прийняття рiшення про обрання членiв Наглядової ради.</w:t>
            </w:r>
            <w:r>
              <w:rPr>
                <w:rFonts w:eastAsia="Times New Roman"/>
                <w:color w:val="000000"/>
                <w:sz w:val="20"/>
                <w:szCs w:val="20"/>
              </w:rPr>
              <w:br/>
              <w:t>15. Про затвердження умов договорiв, що укладатимуться з членами Наглядової ради Товариства, встановлення розмiру їх винагороди, обрання особи, яка уповноважується на пiдписання договорiв з членами Наглядової ради Товариства.</w:t>
            </w:r>
            <w:r>
              <w:rPr>
                <w:rFonts w:eastAsia="Times New Roman"/>
                <w:color w:val="000000"/>
                <w:sz w:val="20"/>
                <w:szCs w:val="20"/>
              </w:rPr>
              <w:br/>
              <w:t>16. Прийняття рiшення про припинення повноважень членiв Ревiзiйної комi Товариства.</w:t>
            </w:r>
            <w:r>
              <w:rPr>
                <w:rFonts w:eastAsia="Times New Roman"/>
                <w:color w:val="000000"/>
                <w:sz w:val="20"/>
                <w:szCs w:val="20"/>
              </w:rPr>
              <w:br/>
              <w:t>17. Прийняття рiшення про обрання членiв Ревiзiйної комiсiї.</w:t>
            </w:r>
            <w:r>
              <w:rPr>
                <w:rFonts w:eastAsia="Times New Roman"/>
                <w:color w:val="000000"/>
                <w:sz w:val="20"/>
                <w:szCs w:val="20"/>
              </w:rPr>
              <w:br/>
              <w:t>18. Прийняття рiшення про попереднє схвалення значних правочинiв Товариства.</w:t>
            </w:r>
          </w:p>
        </w:tc>
      </w:tr>
    </w:tbl>
    <w:p w:rsidR="00A523C1" w:rsidRDefault="00A523C1" w:rsidP="00A523C1">
      <w:pPr>
        <w:rPr>
          <w:rFonts w:eastAsia="Times New Roman"/>
          <w:color w:val="000000"/>
        </w:rPr>
      </w:pPr>
    </w:p>
    <w:p w:rsidR="00A523C1" w:rsidRDefault="00A523C1" w:rsidP="00A523C1">
      <w:pPr>
        <w:rPr>
          <w:rFonts w:eastAsia="Times New Roman"/>
          <w:color w:val="000000"/>
        </w:rPr>
        <w:sectPr w:rsidR="00A523C1">
          <w:pgSz w:w="11907" w:h="16840"/>
          <w:pgMar w:top="1134" w:right="851"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Look w:val="04A0"/>
      </w:tblPr>
      <w:tblGrid>
        <w:gridCol w:w="4130"/>
        <w:gridCol w:w="6195"/>
      </w:tblGrid>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Товариство з обмеженою вiдповiдальнiстю "Фiнансова компанiя "Захiдна iнвестицiйна група" </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30610731</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76018 Україна Івано-Франківська дн м.Iвано-Франкiвськ площа Мiцкевича, будинок 6, офiс 5</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серiя АЕ №263160</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НКЦПФР</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20.06.2013</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(0342)78-53-28</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(0342)52-57-67</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Депозитарна дiяльнiсть</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76018, Iвано-Франкiвська обл., мiсто Iвано-Франкiвськ, площа Мiцкевича, будинок 6, офiс 5.</w:t>
            </w:r>
          </w:p>
        </w:tc>
      </w:tr>
    </w:tbl>
    <w:p w:rsidR="00A523C1" w:rsidRDefault="00A523C1" w:rsidP="00A523C1">
      <w:pPr>
        <w:rPr>
          <w:rFonts w:eastAsia="Times New Roman"/>
          <w:color w:val="000000"/>
        </w:rPr>
      </w:pPr>
    </w:p>
    <w:tbl>
      <w:tblPr>
        <w:tblW w:w="5000" w:type="pct"/>
        <w:tblLook w:val="04A0"/>
      </w:tblPr>
      <w:tblGrid>
        <w:gridCol w:w="4130"/>
        <w:gridCol w:w="6195"/>
      </w:tblGrid>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ПАТ "Нацiональний депозитарiй України"</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Публічне акціонерне товариство</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30370711</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04071 Україна м. Київ д/н м.Київ Нижний Вал, 17/8</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АВ 189650</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ДКЦПФР</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19.09.2006</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044 279-65-40</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044 279-13-22</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Юридична особа, яка здiйснює професiйну депозитарну дiяльнiсть, депозитарiю паперiв</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Строк дiї лiцензiї до 19.09.2016р.</w:t>
            </w:r>
          </w:p>
        </w:tc>
      </w:tr>
    </w:tbl>
    <w:p w:rsidR="00A523C1" w:rsidRDefault="00A523C1" w:rsidP="00A523C1">
      <w:pPr>
        <w:rPr>
          <w:rFonts w:eastAsia="Times New Roman"/>
          <w:color w:val="000000"/>
        </w:rPr>
      </w:pPr>
    </w:p>
    <w:tbl>
      <w:tblPr>
        <w:tblW w:w="5000" w:type="pct"/>
        <w:tblLook w:val="04A0"/>
      </w:tblPr>
      <w:tblGrid>
        <w:gridCol w:w="4130"/>
        <w:gridCol w:w="6195"/>
      </w:tblGrid>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ТОВ “ЮВМ – аудит”</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20587317</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02140 Україна м. Київ дв м.Київ Бажана 34/24</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2488</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Аудиторська палата України</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26.01.2001</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lastRenderedPageBreak/>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(044) 574-50-28 </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(044) 574-50-28 </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аудиторськi послуги</w:t>
            </w:r>
          </w:p>
        </w:tc>
      </w:tr>
      <w:tr w:rsidR="00A523C1" w:rsidTr="00A523C1">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Свiдоцтво про внесення в Реєстр аудиторських фiрм та аудиторiв, якi одноособово надають аудиторськi послуги № 2488 рiшення Аудиторської Палати України № 98 вiд 26.01.2001р., рiшення Аудиторської Палати України № 158 вiд 26.01.2006р., рiшення Аудиторської Палати України № 224/3 вiд 23.12.2010р. та рiшення Аудиторської Палати України № 317/4 вiд 26.11.2015р.</w:t>
            </w:r>
            <w:r>
              <w:rPr>
                <w:rFonts w:eastAsia="Times New Roman"/>
                <w:color w:val="000000"/>
                <w:sz w:val="20"/>
                <w:szCs w:val="20"/>
              </w:rPr>
              <w:br/>
              <w:t>Свiдоцтво № 0199 Про вiдповiднiсть системи контролю якостi, Рiшення АПУ вiд 22.12.2011 № 244/5 “Про результати зовнiшнiх перевiрок системи контролю якостi, створених аудиторськими фiрмами та аудиторами” - пройшли зовнiшню перевiрку системи контролю якостi аудиторських послуг.</w:t>
            </w:r>
          </w:p>
        </w:tc>
      </w:tr>
    </w:tbl>
    <w:p w:rsidR="00A523C1" w:rsidRDefault="00A523C1" w:rsidP="00A523C1">
      <w:pPr>
        <w:rPr>
          <w:rFonts w:eastAsia="Times New Roman"/>
          <w:color w:val="000000"/>
        </w:rPr>
      </w:pPr>
    </w:p>
    <w:p w:rsidR="00A523C1" w:rsidRDefault="00A523C1" w:rsidP="00A523C1">
      <w:pPr>
        <w:rPr>
          <w:rFonts w:eastAsia="Times New Roman"/>
          <w:color w:val="000000"/>
        </w:rPr>
        <w:sectPr w:rsidR="00A523C1">
          <w:pgSz w:w="11907" w:h="16840"/>
          <w:pgMar w:top="1134" w:right="851"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X. Відомості про цінні папери емітента</w:t>
      </w:r>
    </w:p>
    <w:p w:rsidR="00A523C1" w:rsidRDefault="00A523C1" w:rsidP="00A523C1">
      <w:pPr>
        <w:pStyle w:val="4"/>
        <w:rPr>
          <w:rFonts w:eastAsia="Times New Roman"/>
          <w:color w:val="000000"/>
        </w:rPr>
      </w:pPr>
      <w:r>
        <w:rPr>
          <w:rFonts w:eastAsia="Times New Roman"/>
          <w:color w:val="000000"/>
        </w:rPr>
        <w:t>1. Інформація про випуски акцій</w:t>
      </w:r>
    </w:p>
    <w:tbl>
      <w:tblPr>
        <w:tblW w:w="5000" w:type="pct"/>
        <w:tblLook w:val="04A0"/>
      </w:tblPr>
      <w:tblGrid>
        <w:gridCol w:w="1151"/>
        <w:gridCol w:w="1382"/>
        <w:gridCol w:w="1751"/>
        <w:gridCol w:w="1913"/>
        <w:gridCol w:w="1748"/>
        <w:gridCol w:w="1730"/>
        <w:gridCol w:w="1388"/>
        <w:gridCol w:w="1115"/>
        <w:gridCol w:w="1379"/>
        <w:gridCol w:w="1418"/>
      </w:tblGrid>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30.09.2010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31/07/1/10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Закарпатське ТУ 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xml:space="preserve">UA4000097158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19110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100</w:t>
            </w:r>
          </w:p>
        </w:tc>
      </w:tr>
      <w:tr w:rsidR="00A523C1" w:rsidTr="00A523C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Акцiїї не розмiщувалися на внутрiшнiх та зовнiщнiх ринках. Фактiв лiстингу/делiстингу протягом звiтного року не було.</w:t>
            </w:r>
            <w:r>
              <w:rPr>
                <w:rFonts w:eastAsia="Times New Roman"/>
                <w:color w:val="000000"/>
                <w:sz w:val="20"/>
                <w:szCs w:val="20"/>
              </w:rPr>
              <w:br/>
              <w:t>Торгiвля цiнними паперами на фондових бiржах не здiйснювалась.</w:t>
            </w:r>
            <w:r>
              <w:rPr>
                <w:rFonts w:eastAsia="Times New Roman"/>
                <w:color w:val="000000"/>
                <w:sz w:val="20"/>
                <w:szCs w:val="20"/>
              </w:rPr>
              <w:br/>
              <w:t>У лiстинг фондових бiрж ЦП не включенi. Викуп власних акцiй емiтентом не проводився.</w:t>
            </w:r>
          </w:p>
        </w:tc>
      </w:tr>
      <w:tr w:rsidR="00A523C1" w:rsidTr="00A523C1">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w:t>
            </w:r>
          </w:p>
        </w:tc>
      </w:tr>
    </w:tbl>
    <w:p w:rsidR="00A523C1" w:rsidRDefault="00A523C1" w:rsidP="00A523C1">
      <w:pPr>
        <w:rPr>
          <w:rFonts w:eastAsia="Times New Roman"/>
          <w:color w:val="000000"/>
        </w:rPr>
        <w:sectPr w:rsidR="00A523C1">
          <w:pgSz w:w="16840" w:h="11907" w:orient="landscape"/>
          <w:pgMar w:top="1134" w:right="1134"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XI. Опис бізнесу</w:t>
      </w: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ВАТ"Райагротехсервiс" створено 19 рокiв тому, як державне пiдприємство по забезпеченню потреб колгоспiв, радгоспiв та iнших структур АНК, сiльського населення , МП, товаро-матерiальними цiнностями та надання послуг; оренда примiщень та складiв а також оренда майданчикiв.У 2011 роцi товариство змiнило назву з ВАТ на ПАТ вiдповiдно до вимог чинного законодавства.</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 xml:space="preserve">Товариство розмiщено на площi 4,019 га. </w:t>
            </w:r>
            <w:r>
              <w:rPr>
                <w:rFonts w:eastAsia="Times New Roman"/>
                <w:color w:val="000000"/>
              </w:rPr>
              <w:br/>
              <w:t xml:space="preserve">На територiї знаходиться: - три складськi примiщення, якi побудованi в 1962 роцi; -навiснi складськi примiщення для збереження та с/г машин-1962 рiк. - пункт ТО, типу ангар, два козловi крани, якi експлуатуються з 1986 року; -адмiнбудинок побудований у 1987 роцi; -вагова побудована у 1987 роцi. </w:t>
            </w:r>
            <w:r>
              <w:rPr>
                <w:rFonts w:eastAsia="Times New Roman"/>
                <w:color w:val="000000"/>
              </w:rPr>
              <w:br/>
              <w:t xml:space="preserve">Дочiрнiх пiдприємств, фiлiй, представництв та iнших вiдокремлених структурних пiдроздiлiв немає. </w:t>
            </w:r>
            <w:r>
              <w:rPr>
                <w:rFonts w:eastAsia="Times New Roman"/>
                <w:color w:val="000000"/>
              </w:rPr>
              <w:br/>
              <w:t>Змiн у структурi емiтента протягом звiтного перiоду не вiдбувалося.</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 xml:space="preserve">Станом на 31 грудня 2015 року середньооблiкова чисельнiсть штатних працiвникiв облiкового складу складає 3 особи. </w:t>
            </w:r>
            <w:r>
              <w:rPr>
                <w:rFonts w:eastAsia="Times New Roman"/>
                <w:color w:val="000000"/>
              </w:rPr>
              <w:br/>
              <w:t>Середня чисельнiсть позаштатних працiвникiв та осiб, якi працюють за сумiсництвом (осiб) -__0__ осiб.</w:t>
            </w:r>
            <w:r>
              <w:rPr>
                <w:rFonts w:eastAsia="Times New Roman"/>
                <w:color w:val="000000"/>
              </w:rPr>
              <w:br/>
              <w:t>Чисельнiсть працiвникiв, якi працюють на умовах неповного робочого часу (дня, тижня) (осiб) – немає.</w:t>
            </w:r>
            <w:r>
              <w:rPr>
                <w:rFonts w:eastAsia="Times New Roman"/>
                <w:color w:val="000000"/>
              </w:rPr>
              <w:br/>
              <w:t>Фонд оплати працi у 2015р. складав 46.0 тис.грн.</w:t>
            </w:r>
            <w:r>
              <w:rPr>
                <w:rFonts w:eastAsia="Times New Roman"/>
                <w:color w:val="000000"/>
              </w:rPr>
              <w:br/>
              <w:t>Фонд оплати працi у 2014р. складав 44.0 тис.грн.</w:t>
            </w:r>
            <w:r>
              <w:rPr>
                <w:rFonts w:eastAsia="Times New Roman"/>
                <w:color w:val="000000"/>
              </w:rPr>
              <w:br/>
              <w:t xml:space="preserve">Продовж 2015 року товариство здавало в оренду власне майно Товариства i надалi планує здавати в оренду власне майно. </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Не належить</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Не проводить</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З боку третiх осiб нiяких пропозицiй щодо реорганiзацiї не поступало протягом звiтного року.</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Протягом 2015 року Товариство дотримувалася наступних принципiв дiяльностi та складання фiнансової звiтностi: автономнiсть, безперервнiсть, перiодичнiсть, iсторичної собiвартостi, нарахування та вiдповiдностi доходiв i витрат, повного висвiтлення, послiдовностi, обачностi та єдиного грошового вимiрника.</w:t>
            </w:r>
            <w:r>
              <w:rPr>
                <w:rFonts w:eastAsia="Times New Roman"/>
                <w:color w:val="000000"/>
              </w:rPr>
              <w:br/>
              <w:t xml:space="preserve">Облiкова полiтика на 2015 рiк була затверджена наказом Голови правлiння вiд 03.01.2015 р. </w:t>
            </w:r>
            <w:r>
              <w:rPr>
                <w:rFonts w:eastAsia="Times New Roman"/>
                <w:color w:val="000000"/>
              </w:rPr>
              <w:br/>
              <w:t>Протягом 2015 року змiни до облiкової полiтики не вносилися.</w:t>
            </w:r>
            <w:r>
              <w:rPr>
                <w:rFonts w:eastAsia="Times New Roman"/>
                <w:color w:val="000000"/>
              </w:rPr>
              <w:br/>
              <w:t xml:space="preserve">Товариство веде бухгалтерський облiк у вiдповiдностi до чинного законодавства України: Закону України «Про бухгалтерський облiк та фiнансову звiтнiсть», облiкової полiтики та iнших внутрiшнiх нормативних документiв товариства. </w:t>
            </w:r>
            <w:r>
              <w:rPr>
                <w:rFonts w:eastAsia="Times New Roman"/>
                <w:color w:val="000000"/>
              </w:rPr>
              <w:br/>
              <w:t xml:space="preserve">Облiкова полiтика Товариства – це сукупнiсть методiв, принципiв, засобiв органiзацiї бухгалтерського облiку, порядку вiдображення в облiку обставин, якi впливають на фiнансовий стантовариства. Облiкова полiтика базується на чинному законодавствi України, нормативних документах Нацiональної комiсiї з цiнних паперiв та фондового ринку та рiшеннях керiвництва </w:t>
            </w:r>
            <w:r>
              <w:rPr>
                <w:rFonts w:eastAsia="Times New Roman"/>
                <w:color w:val="000000"/>
              </w:rPr>
              <w:lastRenderedPageBreak/>
              <w:t>товариства.</w:t>
            </w:r>
            <w:r>
              <w:rPr>
                <w:rFonts w:eastAsia="Times New Roman"/>
                <w:color w:val="000000"/>
              </w:rPr>
              <w:br/>
              <w:t xml:space="preserve">Товариство веде бухгалтерський облiк та складає фiнансову звiтнiсть у нацiональнiй грошовiй одиницi України – гривнях. </w:t>
            </w:r>
            <w:r>
              <w:rPr>
                <w:rFonts w:eastAsia="Times New Roman"/>
                <w:color w:val="000000"/>
              </w:rPr>
              <w:br/>
              <w:t>Господарськi операцiї здiйснюються на основi первинних документiв, на основi яких складають зведенi облiковi документи. 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w:t>
            </w:r>
            <w:r>
              <w:rPr>
                <w:rFonts w:eastAsia="Times New Roman"/>
                <w:color w:val="000000"/>
              </w:rPr>
              <w:br/>
              <w:t>Iнвентаризацiя основних засобiв та запасiв проводилася за перiод, що пiдлягав перевiрцi.</w:t>
            </w:r>
            <w:r>
              <w:rPr>
                <w:rFonts w:eastAsia="Times New Roman"/>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w:t>
            </w:r>
            <w:r>
              <w:rPr>
                <w:rFonts w:eastAsia="Times New Roman"/>
                <w:color w:val="000000"/>
              </w:rPr>
              <w:br/>
              <w:t>Встановлено наступнi термiни корисного використання для кожного виду активiв;</w:t>
            </w:r>
            <w:r>
              <w:rPr>
                <w:rFonts w:eastAsia="Times New Roman"/>
                <w:color w:val="000000"/>
              </w:rPr>
              <w:br/>
              <w:t>Будiвлi та споруди -50 рокiв;</w:t>
            </w:r>
            <w:r>
              <w:rPr>
                <w:rFonts w:eastAsia="Times New Roman"/>
                <w:color w:val="000000"/>
              </w:rPr>
              <w:br/>
              <w:t>Машини та механiзми -5-7 рокiв;</w:t>
            </w:r>
            <w:r>
              <w:rPr>
                <w:rFonts w:eastAsia="Times New Roman"/>
                <w:color w:val="000000"/>
              </w:rPr>
              <w:br/>
              <w:t>Транспортнi засоби -5-7 рокiв;</w:t>
            </w:r>
            <w:r>
              <w:rPr>
                <w:rFonts w:eastAsia="Times New Roman"/>
                <w:color w:val="000000"/>
              </w:rPr>
              <w:br/>
              <w:t xml:space="preserve">Протягом року на Товариствi для оцiнки вибуття запасiв використовували метод собiвартостi 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До складу малоцiнних необоротних активiв включалися активи вартiстю до 2500 грн. </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lastRenderedPageBreak/>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Пiдприємство надає послуги для населення та для iнших органiзацiй. У ПАТ "Райагротехсервiс" є велика конкуренцiя з боку ринку смт.Тересва.</w:t>
            </w:r>
            <w:r>
              <w:rPr>
                <w:rFonts w:eastAsia="Times New Roman"/>
                <w:color w:val="000000"/>
              </w:rPr>
              <w:br/>
              <w:t>Спосiб утримання активiв, мiсцезнаходження основних засобiв:</w:t>
            </w:r>
            <w:r>
              <w:rPr>
                <w:rFonts w:eastAsia="Times New Roman"/>
                <w:color w:val="000000"/>
              </w:rPr>
              <w:br/>
              <w:t>Утримуються основнi активи за рахунок власних коштiв товариства..</w:t>
            </w:r>
            <w:r>
              <w:rPr>
                <w:rFonts w:eastAsia="Times New Roman"/>
                <w:color w:val="000000"/>
              </w:rPr>
              <w:br/>
              <w:t>Всi основнi засоби використовуться за призначенням, обмежень на використання основних засобiв не має. Основнi засоби знаходять на головному пiдприємствi. Мiсцезнаходження основних засобiв Закарпатська обл., Тячiвськийр-н., смт. Тересва, вул. Терешкової, 10/а.</w:t>
            </w:r>
            <w:r>
              <w:rPr>
                <w:rFonts w:eastAsia="Times New Roman"/>
                <w:color w:val="000000"/>
              </w:rPr>
              <w:br/>
              <w:t xml:space="preserve">Продовж 2015 року товариство здавало в оренду власне майно Товариства i надалi планує здавати в оренду власне майно. </w:t>
            </w:r>
            <w:r>
              <w:rPr>
                <w:rFonts w:eastAsia="Times New Roman"/>
                <w:color w:val="000000"/>
              </w:rPr>
              <w:br/>
              <w:t>На сьогоднiшнiй день товариство працює зi збитками (здає в оренду).</w:t>
            </w:r>
            <w:r>
              <w:rPr>
                <w:rFonts w:eastAsia="Times New Roman"/>
                <w:color w:val="000000"/>
              </w:rPr>
              <w:br/>
              <w:t>Очiкуване зростання виробничих потужностей у товариства поки не передбачається.</w:t>
            </w:r>
            <w:r>
              <w:rPr>
                <w:rFonts w:eastAsia="Times New Roman"/>
                <w:color w:val="000000"/>
              </w:rPr>
              <w:br/>
              <w:t>Екологiчнi питання -</w:t>
            </w:r>
            <w:r>
              <w:rPr>
                <w:rFonts w:eastAsia="Times New Roman"/>
                <w:color w:val="000000"/>
              </w:rPr>
              <w:br/>
              <w:t>Дiяльнiсть товариства здiйснюється вiдповiдно до законодавства України про охорону навколишнього середовища. Нiякi дiї товариства пов'язанi з виробництвом не мають суттєвого впливу на навколишнє середовище та не зашкоджує йому.</w:t>
            </w:r>
            <w:r>
              <w:rPr>
                <w:rFonts w:eastAsia="Times New Roman"/>
                <w:color w:val="000000"/>
              </w:rPr>
              <w:br/>
              <w:t>Плани капiтального будiвництва -</w:t>
            </w:r>
            <w:r>
              <w:rPr>
                <w:rFonts w:eastAsia="Times New Roman"/>
                <w:color w:val="000000"/>
              </w:rPr>
              <w:br/>
              <w:t>Щодо планiв капiтального будiвництва у товариства на ближчi 3 роки вiдсутнi.</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Фактiв вiдчуження активiв за останнi п"ять рокiв не було.</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Не було</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Основнi засоби морально застарiлi i потребують оновлення, а для цього потрiбнi чималi кошти, яких у пiдприємства не має. Кредити в банках надаються пiд високi процентнi ставки, так що прогнозувати щодо удосконалення або розширення основних засобiв чи щодо планiв капiтального будiвництва вкрай важко.</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 xml:space="preserve">Найбiльш суттєвою проблемою, яка впливає на дiяльнiсть товариства є податкове законодавство </w:t>
            </w:r>
            <w:r>
              <w:rPr>
                <w:rFonts w:eastAsia="Times New Roman"/>
                <w:color w:val="000000"/>
              </w:rPr>
              <w:lastRenderedPageBreak/>
              <w:t>(високi податковi ставки); низька платоспроможнiсть споживачiв, що спричиняє дебiторську заборгованiсть, а це в свою чергу впливає на розмiр вiльних обiгових коштiв емiтента.</w:t>
            </w:r>
            <w:r>
              <w:rPr>
                <w:rFonts w:eastAsia="Times New Roman"/>
                <w:color w:val="000000"/>
              </w:rPr>
              <w:br/>
              <w:t>Iнформацiя щодо проблем, ступiнь залежностi вiд законодавчих та економiчних обмежень</w:t>
            </w:r>
            <w:r>
              <w:rPr>
                <w:rFonts w:eastAsia="Times New Roman"/>
                <w:color w:val="000000"/>
              </w:rPr>
              <w:br/>
              <w:t>1.Низька платоспроможнiсть населення</w:t>
            </w:r>
            <w:r>
              <w:rPr>
                <w:rFonts w:eastAsia="Times New Roman"/>
                <w:color w:val="000000"/>
              </w:rPr>
              <w:br/>
              <w:t>2.Iснуючий податковий тиск не дає можливостi нормального iснування та розвитку Податкове навантаження: високi податки , вимоги податкових органiв, що призводить до зростання податкових платежiв, штрафiв i пенi.</w:t>
            </w:r>
            <w:r>
              <w:rPr>
                <w:rFonts w:eastAsia="Times New Roman"/>
                <w:color w:val="000000"/>
              </w:rPr>
              <w:br/>
              <w:t>3.Нехватка власних оборотних коштiв</w:t>
            </w:r>
            <w:r>
              <w:rPr>
                <w:rFonts w:eastAsia="Times New Roman"/>
                <w:color w:val="000000"/>
              </w:rPr>
              <w:br/>
              <w:t>4.Рецесiя , зниження економiчного розвитку</w:t>
            </w:r>
            <w:r>
              <w:rPr>
                <w:rFonts w:eastAsia="Times New Roman"/>
                <w:color w:val="000000"/>
              </w:rPr>
              <w:br/>
              <w:t>5.Зростання iнфляцiї та зниження впевненостi споживачiв у майбутньому</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lastRenderedPageBreak/>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Штрафнi санкцiй -вiдсутнi</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Пiдприємство фiнансується виключно за власнi кошти.</w:t>
            </w:r>
            <w:r>
              <w:rPr>
                <w:rFonts w:eastAsia="Times New Roman"/>
                <w:color w:val="000000"/>
              </w:rPr>
              <w:b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2.9, що бiльше за оптимальне значення (0,6-0,8). </w:t>
            </w:r>
            <w:r>
              <w:rPr>
                <w:rFonts w:eastAsia="Times New Roman"/>
                <w:color w:val="000000"/>
              </w:rPr>
              <w:br/>
              <w:t>Товариство зможе виконати свої зобов’язання перед кредиторами, якщо вони навiть одночасно зажадають вiд Товариства повернення боргiв .</w:t>
            </w:r>
            <w:r>
              <w:rPr>
                <w:rFonts w:eastAsia="Times New Roman"/>
                <w:color w:val="000000"/>
              </w:rPr>
              <w:br/>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вищий за оптимальне значення. Так, значення цього показника за даними балансу Товариства на кiнець перiоду становить 5.8.</w:t>
            </w:r>
            <w:r>
              <w:rPr>
                <w:rFonts w:eastAsia="Times New Roman"/>
                <w:color w:val="000000"/>
              </w:rPr>
              <w:br/>
              <w:t xml:space="preserve">Це свiдчить про те, що Товариство за рахунок наявних коштiв, мобiлiзацiї боргiв на свою користь та реалiзацiї запасiв i iнших активiв в змозi одночасно задовольнити вимоги кредиторiв на 100% ( при цьому до уваги не взято заборгованiсть за довгостроковими зобов’язаннями). </w:t>
            </w:r>
            <w:r>
              <w:rPr>
                <w:rFonts w:eastAsia="Times New Roman"/>
                <w:color w:val="000000"/>
              </w:rPr>
              <w:b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41.7 Це свiдчить про те, що Товариство не здiйснює свою дiяльнiсть за рахунок позичкового капiталу.</w:t>
            </w:r>
            <w:r>
              <w:rPr>
                <w:rFonts w:eastAsia="Times New Roman"/>
                <w:color w:val="000000"/>
              </w:rPr>
              <w:br/>
              <w:t xml:space="preserve">Коефiцiєнт рентабельностi 2015 р. не розраховувався в зв’язку iз збитковiстю товариства. </w:t>
            </w:r>
            <w:r>
              <w:rPr>
                <w:rFonts w:eastAsia="Times New Roman"/>
                <w:color w:val="000000"/>
              </w:rPr>
              <w:br/>
              <w:t>За результатами дiяльностi у Товариства чистий прибуток(збиток) -"0"</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Укладених, але не виконаних договорiв не має.</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Високi податковi зобов"язання, низька платоспроможнiсть населення, застарiле i зношене оборудування та будiвлi,високi кредитнi ставки (загалом нестабiльнiсть у цiновiй полiтицi) не дають змоги прогнозувати стратегiю подальшого розвитку товариства, планується здача в оренду власного нерухомого майна</w:t>
            </w:r>
            <w:r>
              <w:rPr>
                <w:rFonts w:eastAsia="Times New Roman"/>
                <w:color w:val="000000"/>
              </w:rPr>
              <w:br/>
              <w:t xml:space="preserve">Прiорiтетами стратегiї та розвитку пiдприємства є питання щодо заощадження подальшого переозброєння, переоснащення i модернiзаiїї </w:t>
            </w:r>
            <w:r>
              <w:rPr>
                <w:rFonts w:eastAsia="Times New Roman"/>
                <w:color w:val="000000"/>
              </w:rPr>
              <w:br/>
              <w:t xml:space="preserve">Цiлi та полiтика управлiння фiнансовими ризиками. </w:t>
            </w:r>
            <w:r>
              <w:rPr>
                <w:rFonts w:eastAsia="Times New Roman"/>
                <w:color w:val="000000"/>
              </w:rPr>
              <w:br/>
              <w:t xml:space="preserve">Основнi фiнансовi iнструменти пiдприємства включають торгову кредиторську заборгованiсть. Основною цiллю даних фiнансових iнструментiв є власнi обiговi кошти для фiнансування операцiй </w:t>
            </w:r>
            <w:r>
              <w:rPr>
                <w:rFonts w:eastAsia="Times New Roman"/>
                <w:color w:val="000000"/>
              </w:rPr>
              <w:lastRenderedPageBreak/>
              <w:t>Пiдприємства. Також Пiдприємство має iншi фiнансовi iнструменти, такi як торгова дебiторська заборгованiсть, грошовi кошти та короткостроковi депозити.</w:t>
            </w:r>
            <w:r>
              <w:rPr>
                <w:rFonts w:eastAsia="Times New Roman"/>
                <w:color w:val="000000"/>
              </w:rPr>
              <w:br/>
              <w:t xml:space="preserve">Полiтика управлiння ризиками включає наступне: </w:t>
            </w:r>
            <w:r>
              <w:rPr>
                <w:rFonts w:eastAsia="Times New Roman"/>
                <w:color w:val="000000"/>
              </w:rPr>
              <w:br/>
              <w:t>Кредитний ризик. Пiдприємство укладає угоди виключно з вiдомими та фiнансово стабiльними сторонами. Операцiї з новими клiєнтами здiйснюються на основi попереднiх оплат. Дебiторська заборгованiсть пiдлягає постiйному монiторингу. Вiдносно кредитного ризику, пов’язаного з iншими фiнансовими iнструментами, якi включають фiнансовi iнвестицiї, доступнi для продажу, та фiнансовi iнвестицiї до погашення, ризик пов'язаний з можливiстю дефолту контрагента, при цьому максимальний ризик дорiвнює балансовiй вартостi iнструменту.</w:t>
            </w:r>
            <w:r>
              <w:rPr>
                <w:rFonts w:eastAsia="Times New Roman"/>
                <w:color w:val="000000"/>
              </w:rPr>
              <w:br/>
              <w:t>В областi управлiння капiталом керiвництво Товариства ставить своєю метою гарантувати Товариству можливiсть ведення безперервної дiяльностi для забезпечення доходiв акцiонерам та вигiд iншим зацiкавленим сторонам, а також пiдтримка оптимальної структури капiталу з метою зниження витрат на його залучення .</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lastRenderedPageBreak/>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Розробок та дослiджень не було.</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Судових справ, стороною в яких виступає емiтент, не було.</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Пiдсумки госпдiяльностi свiдчить про не рентабельнiсть використання активiв .Таке положення в основному забезпечує фiнансову незалежнiсть ПАТ i зменшує ризик кредиторiв по вiдношенню по довгострокових, так i по поточних зобов'язаннях . На протязi 2015 року iпотечнi облiгацiї вiдсутнi. За 2015 рiк у товариства чистий прибуток(збиток) - 0</w:t>
            </w:r>
            <w:r>
              <w:rPr>
                <w:rFonts w:eastAsia="Times New Roman"/>
                <w:color w:val="000000"/>
              </w:rPr>
              <w:br/>
              <w:t>Товариство в останнi 3 роки здає в оренду власне нерухоме майно.</w:t>
            </w:r>
          </w:p>
        </w:tc>
      </w:tr>
    </w:tbl>
    <w:p w:rsidR="00A523C1" w:rsidRDefault="00A523C1" w:rsidP="00A523C1">
      <w:pPr>
        <w:rPr>
          <w:rFonts w:eastAsia="Times New Roman"/>
          <w:color w:val="000000"/>
        </w:rPr>
        <w:sectPr w:rsidR="00A523C1">
          <w:pgSz w:w="11907" w:h="16840"/>
          <w:pgMar w:top="1134" w:right="851"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A523C1" w:rsidRDefault="00A523C1" w:rsidP="00A523C1">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Look w:val="04A0"/>
      </w:tblPr>
      <w:tblGrid>
        <w:gridCol w:w="1823"/>
        <w:gridCol w:w="1476"/>
        <w:gridCol w:w="1358"/>
        <w:gridCol w:w="1476"/>
        <w:gridCol w:w="1358"/>
        <w:gridCol w:w="1476"/>
        <w:gridCol w:w="1358"/>
      </w:tblGrid>
      <w:tr w:rsidR="00A523C1" w:rsidTr="00A523C1">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A523C1" w:rsidTr="00A523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кінець періоду</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549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549</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74</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Станом на 31.12.2015 року згiдно з даними бухгалтерського облiку на балансi товариства облiковувалися основнi засоби, первiсна вартiсть яких становила 1269 тис. грн., сума зносу 642 тис. грн. Залишкова вартiсть основних засобiв 627 тис.грн.</w:t>
            </w:r>
            <w:r>
              <w:rPr>
                <w:rFonts w:eastAsia="Times New Roman"/>
                <w:color w:val="000000"/>
                <w:sz w:val="20"/>
                <w:szCs w:val="20"/>
              </w:rPr>
              <w:br/>
              <w:t>Середнiй рiвень зносу становить 51%.</w:t>
            </w:r>
          </w:p>
        </w:tc>
      </w:tr>
    </w:tbl>
    <w:p w:rsidR="00A523C1" w:rsidRDefault="00A523C1" w:rsidP="00A523C1">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Look w:val="04A0"/>
      </w:tblPr>
      <w:tblGrid>
        <w:gridCol w:w="2058"/>
        <w:gridCol w:w="3717"/>
        <w:gridCol w:w="4550"/>
      </w:tblGrid>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709</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19</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19</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Розрахунок вартостi чистих активiв вiдбувався вiдповiдно до методичних рекомендацiй ДКЦПФР (Рiшення № 485 вiд 17.11.2004 року). Визначення вартостi чистих активiв проводилося за формулою: Чистi активи = Необоротнi активи + Оборотнi активи + Витрати майбутнiх перiодiв - Довгостроковi зобов`язання - Поточнi зобов`язання - Забезпечення наступних виплат i платежiв - Доходи майбутнiх перiодiв.</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Розрахункова вартiсть чистих активiв перевищує статутний . Розрахункова вартiсть чистих </w:t>
            </w:r>
            <w:r>
              <w:rPr>
                <w:rFonts w:eastAsia="Times New Roman"/>
                <w:color w:val="000000"/>
                <w:sz w:val="20"/>
                <w:szCs w:val="20"/>
              </w:rPr>
              <w:lastRenderedPageBreak/>
              <w:t>активiв перевищує скоригований статутний капiтал . Вимоги частини третьої статтi 155 Цивiльного кодексу України дотриманi. Зменшення статутного капiталу не вимагається.</w:t>
            </w:r>
          </w:p>
        </w:tc>
      </w:tr>
    </w:tbl>
    <w:p w:rsidR="00A523C1" w:rsidRDefault="00A523C1" w:rsidP="00A523C1">
      <w:pPr>
        <w:pStyle w:val="4"/>
        <w:rPr>
          <w:rFonts w:eastAsia="Times New Roman"/>
          <w:color w:val="000000"/>
        </w:rPr>
      </w:pPr>
      <w:r>
        <w:rPr>
          <w:rFonts w:eastAsia="Times New Roman"/>
          <w:color w:val="000000"/>
        </w:rPr>
        <w:lastRenderedPageBreak/>
        <w:t>3. Інформація про зобов'язання емітента</w:t>
      </w:r>
    </w:p>
    <w:tbl>
      <w:tblPr>
        <w:tblW w:w="5000" w:type="pct"/>
        <w:tblLook w:val="04A0"/>
      </w:tblPr>
      <w:tblGrid>
        <w:gridCol w:w="3374"/>
        <w:gridCol w:w="1371"/>
        <w:gridCol w:w="1899"/>
        <w:gridCol w:w="2419"/>
        <w:gridCol w:w="1262"/>
      </w:tblGrid>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Дата погашення</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Товариство у 2015 роцi кредитами банкiв не користувалося.</w:t>
            </w:r>
          </w:p>
        </w:tc>
      </w:tr>
    </w:tbl>
    <w:p w:rsidR="00A523C1" w:rsidRDefault="00A523C1" w:rsidP="00A523C1">
      <w:pPr>
        <w:pStyle w:val="4"/>
        <w:rPr>
          <w:rFonts w:eastAsia="Times New Roman"/>
          <w:color w:val="000000"/>
        </w:rPr>
      </w:pPr>
      <w:r>
        <w:rPr>
          <w:rFonts w:eastAsia="Times New Roman"/>
          <w:color w:val="000000"/>
        </w:rPr>
        <w:t>XVI. Текст аудиторського висновку (звіту).</w:t>
      </w:r>
    </w:p>
    <w:tbl>
      <w:tblPr>
        <w:tblW w:w="5000" w:type="pct"/>
        <w:tblLook w:val="04A0"/>
      </w:tblPr>
      <w:tblGrid>
        <w:gridCol w:w="6619"/>
        <w:gridCol w:w="3706"/>
      </w:tblGrid>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ТОВ “ЮВМ – аудит”</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20587317</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xml:space="preserve">адреса (фактична) : м. Київ, вул. Бажана 34/24, (юридична) м. Бровари, вул. Черняхiвського 23-б к.171.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2488 26.01.2001</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 д/н д/н д/н</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spacing w:after="240"/>
              <w:rPr>
                <w:rFonts w:eastAsia="Times New Roman"/>
                <w:color w:val="000000"/>
                <w:sz w:val="20"/>
                <w:szCs w:val="20"/>
              </w:rPr>
            </w:pPr>
            <w:r>
              <w:rPr>
                <w:rFonts w:eastAsia="Times New Roman"/>
                <w:color w:val="000000"/>
                <w:sz w:val="20"/>
                <w:szCs w:val="20"/>
              </w:rPr>
              <w:t>У к р а ї н а Chernigivska str. №4</w:t>
            </w:r>
            <w:r>
              <w:rPr>
                <w:rFonts w:eastAsia="Times New Roman"/>
                <w:color w:val="000000"/>
                <w:sz w:val="20"/>
                <w:szCs w:val="20"/>
              </w:rPr>
              <w:br/>
              <w:t>м. Київ, вул. Бажана, 34/24 Keiv region</w:t>
            </w:r>
            <w:r>
              <w:rPr>
                <w:rFonts w:eastAsia="Times New Roman"/>
                <w:color w:val="000000"/>
                <w:sz w:val="20"/>
                <w:szCs w:val="20"/>
              </w:rPr>
              <w:br/>
              <w:t>м. Бровари, вул. Черняхiвського 23-б к.171 Brovary, Ukraine</w:t>
            </w:r>
            <w:r>
              <w:rPr>
                <w:rFonts w:eastAsia="Times New Roman"/>
                <w:color w:val="000000"/>
                <w:sz w:val="20"/>
                <w:szCs w:val="20"/>
              </w:rPr>
              <w:br/>
              <w:t>р/р№26004271769 Ю В М JS Postal Pensionary Bank AVAL АТ «Райффайзен А У Д И Т Swift: AVAL UA UK BRO</w:t>
            </w:r>
            <w:r>
              <w:rPr>
                <w:rFonts w:eastAsia="Times New Roman"/>
                <w:color w:val="000000"/>
                <w:sz w:val="20"/>
                <w:szCs w:val="20"/>
              </w:rPr>
              <w:br/>
              <w:t>Банк АВАЛЬ” ac. 017-001180319</w:t>
            </w:r>
            <w:r>
              <w:rPr>
                <w:rFonts w:eastAsia="Times New Roman"/>
                <w:color w:val="000000"/>
                <w:sz w:val="20"/>
                <w:szCs w:val="20"/>
              </w:rPr>
              <w:br/>
            </w:r>
            <w:r>
              <w:rPr>
                <w:rFonts w:eastAsia="Times New Roman"/>
                <w:color w:val="000000"/>
                <w:sz w:val="20"/>
                <w:szCs w:val="20"/>
              </w:rPr>
              <w:lastRenderedPageBreak/>
              <w:t>Тел./факс: 044 574-50-28 www.uvm-audit.org.ua</w:t>
            </w:r>
            <w:r>
              <w:rPr>
                <w:rFonts w:eastAsia="Times New Roman"/>
                <w:color w:val="000000"/>
                <w:sz w:val="20"/>
                <w:szCs w:val="20"/>
              </w:rPr>
              <w:br/>
            </w:r>
            <w:r>
              <w:rPr>
                <w:rFonts w:eastAsia="Times New Roman"/>
                <w:color w:val="000000"/>
                <w:sz w:val="20"/>
                <w:szCs w:val="20"/>
              </w:rPr>
              <w:br/>
              <w:t>№ 4-06</w:t>
            </w:r>
            <w:r>
              <w:rPr>
                <w:rFonts w:eastAsia="Times New Roman"/>
                <w:color w:val="000000"/>
                <w:sz w:val="20"/>
                <w:szCs w:val="20"/>
              </w:rPr>
              <w:br/>
              <w:t>17.04.2015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А У Д И Т О Р С Ь К И Й В И С Н О В О К</w:t>
            </w:r>
            <w:r>
              <w:rPr>
                <w:rFonts w:eastAsia="Times New Roman"/>
                <w:color w:val="000000"/>
                <w:sz w:val="20"/>
                <w:szCs w:val="20"/>
              </w:rPr>
              <w:br/>
              <w:t>(звiт незалежного аудитора)</w:t>
            </w:r>
            <w:r>
              <w:rPr>
                <w:rFonts w:eastAsia="Times New Roman"/>
                <w:color w:val="000000"/>
                <w:sz w:val="20"/>
                <w:szCs w:val="20"/>
              </w:rPr>
              <w:br/>
              <w:t>незалежної аудиторської фiрми</w:t>
            </w:r>
            <w:r>
              <w:rPr>
                <w:rFonts w:eastAsia="Times New Roman"/>
                <w:color w:val="000000"/>
                <w:sz w:val="20"/>
                <w:szCs w:val="20"/>
              </w:rPr>
              <w:br/>
              <w:t>ТОВ “ЮВМ – аудит”</w:t>
            </w:r>
            <w:r>
              <w:rPr>
                <w:rFonts w:eastAsia="Times New Roman"/>
                <w:color w:val="000000"/>
                <w:sz w:val="20"/>
                <w:szCs w:val="20"/>
              </w:rPr>
              <w:br/>
            </w:r>
            <w:r>
              <w:rPr>
                <w:rFonts w:eastAsia="Times New Roman"/>
                <w:color w:val="000000"/>
                <w:sz w:val="20"/>
                <w:szCs w:val="20"/>
              </w:rPr>
              <w:br/>
              <w:t>щодо фiнансової звiтностi</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 xml:space="preserve">Публiчного акцiонерного товариства </w:t>
            </w:r>
            <w:r>
              <w:rPr>
                <w:rFonts w:eastAsia="Times New Roman"/>
                <w:color w:val="000000"/>
                <w:sz w:val="20"/>
                <w:szCs w:val="20"/>
              </w:rPr>
              <w:br/>
              <w:t>«Райагротехсервiс»</w:t>
            </w:r>
            <w:r>
              <w:rPr>
                <w:rFonts w:eastAsia="Times New Roman"/>
                <w:color w:val="000000"/>
                <w:sz w:val="20"/>
                <w:szCs w:val="20"/>
              </w:rPr>
              <w:br/>
              <w:t>станом на 31 грудня 2014 р.</w:t>
            </w:r>
            <w:r>
              <w:rPr>
                <w:rFonts w:eastAsia="Times New Roman"/>
                <w:color w:val="000000"/>
                <w:sz w:val="20"/>
                <w:szCs w:val="20"/>
              </w:rPr>
              <w:br/>
            </w:r>
            <w:r>
              <w:rPr>
                <w:rFonts w:eastAsia="Times New Roman"/>
                <w:color w:val="000000"/>
                <w:sz w:val="20"/>
                <w:szCs w:val="20"/>
              </w:rPr>
              <w:br/>
            </w:r>
            <w:r>
              <w:rPr>
                <w:rFonts w:eastAsia="Times New Roman"/>
                <w:color w:val="000000"/>
                <w:sz w:val="20"/>
                <w:szCs w:val="20"/>
              </w:rPr>
              <w:br/>
              <w:t>м. Київ .</w:t>
            </w:r>
            <w:r>
              <w:rPr>
                <w:rFonts w:eastAsia="Times New Roman"/>
                <w:color w:val="000000"/>
                <w:sz w:val="20"/>
                <w:szCs w:val="20"/>
              </w:rPr>
              <w:br/>
            </w:r>
            <w:r>
              <w:rPr>
                <w:rFonts w:eastAsia="Times New Roman"/>
                <w:color w:val="000000"/>
                <w:sz w:val="20"/>
                <w:szCs w:val="20"/>
              </w:rPr>
              <w:br/>
              <w:t>Керiвництву Публiчного акцiонерного товариства «Райагротехсервiс».</w:t>
            </w:r>
            <w:r>
              <w:rPr>
                <w:rFonts w:eastAsia="Times New Roman"/>
                <w:color w:val="000000"/>
                <w:sz w:val="20"/>
                <w:szCs w:val="20"/>
              </w:rPr>
              <w:br/>
              <w:t>Нацiональнiй комiсiї з цiнних паперiв та фондового ринку.</w:t>
            </w:r>
            <w:r>
              <w:rPr>
                <w:rFonts w:eastAsia="Times New Roman"/>
                <w:color w:val="000000"/>
                <w:sz w:val="20"/>
                <w:szCs w:val="20"/>
              </w:rPr>
              <w:br/>
            </w:r>
            <w:r>
              <w:rPr>
                <w:rFonts w:eastAsia="Times New Roman"/>
                <w:color w:val="000000"/>
                <w:sz w:val="20"/>
                <w:szCs w:val="20"/>
              </w:rPr>
              <w:br/>
              <w:t xml:space="preserve">Публiчне акцiонерне товариство “Райагротехсервiс”. Iдентифiкацiйний код ЄДРПОУ 20430300. </w:t>
            </w:r>
            <w:r>
              <w:rPr>
                <w:rFonts w:eastAsia="Times New Roman"/>
                <w:color w:val="000000"/>
                <w:sz w:val="20"/>
                <w:szCs w:val="20"/>
              </w:rPr>
              <w:br/>
              <w:t>Виписка серiї ААВ № 217732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28.02.1995 р. за № 1 319 120 0000 001975.</w:t>
            </w:r>
            <w:r>
              <w:rPr>
                <w:rFonts w:eastAsia="Times New Roman"/>
                <w:color w:val="000000"/>
                <w:sz w:val="20"/>
                <w:szCs w:val="20"/>
              </w:rPr>
              <w:br/>
              <w:t xml:space="preserve">Нами вiдповiдно до Мiжнародних стандартiв контролю якостi, аудиту, огляду, iншого надання впевненостi та супутнiх послуг, зокрема до МСА 700 «Формулювання думки та надання звiту щодо фiнансової звiтностi», МСА 705 «Модифiкацiя думки у звiтi незалежного аудитора», МСА 706 «пояснювальнi параграфи та параграфи з iнших питань у звiтi незалежного аудитора», Закону України "Про аудиторську дiяльнiсть" №3125-ХII вiд 22.04.93р. у редакцiї №140-V вiд 14.09.2006 р. зi змiнами й доповненнями, Положень (стандартiв) бухгалтерського облiку, Закону України "Про бухгалтерський облiк i фiнансову звiтнiсть в Українi" №996-X1V вiд 16.07.99 р. зi змiнами та доповненнями та Вимог до аудиторського висновку при розкриттi iнформацiї емiтентами цiнних паперiв (крiм емiтентiв облiгацiй мiсцевої позики), затверджених рiшенням Державної комiсiї з цiнних паперiв та фондового ринку вiд 29.09.2011 р. № 1360 та зареєстрованих Мiнiстерством юстицiї України 28.11.2011 р. за № 1358/20096 проведено аудит повного комплекту фiнансової звiтностi Публiчного акцiонерного товариства «Райагротехсервiс» (надалi Товариство). </w:t>
            </w:r>
            <w:r>
              <w:rPr>
                <w:rFonts w:eastAsia="Times New Roman"/>
                <w:color w:val="000000"/>
                <w:sz w:val="20"/>
                <w:szCs w:val="20"/>
              </w:rPr>
              <w:br/>
              <w:t xml:space="preserve">Повний пакет фiнансових звiтiв Товариства складається з: </w:t>
            </w:r>
            <w:r>
              <w:rPr>
                <w:rFonts w:eastAsia="Times New Roman"/>
                <w:color w:val="000000"/>
                <w:sz w:val="20"/>
                <w:szCs w:val="20"/>
              </w:rPr>
              <w:br/>
              <w:t>1. Балансу (Звiту про фiнансовий стан) станом на 31.12.2014р,</w:t>
            </w:r>
            <w:r>
              <w:rPr>
                <w:rFonts w:eastAsia="Times New Roman"/>
                <w:color w:val="000000"/>
                <w:sz w:val="20"/>
                <w:szCs w:val="20"/>
              </w:rPr>
              <w:br/>
              <w:t>валюта якого складає 726.0 тис.грн.</w:t>
            </w:r>
            <w:r>
              <w:rPr>
                <w:rFonts w:eastAsia="Times New Roman"/>
                <w:color w:val="000000"/>
                <w:sz w:val="20"/>
                <w:szCs w:val="20"/>
              </w:rPr>
              <w:br/>
              <w:t xml:space="preserve">2. Звiту про фiнансовi результати (Звiту про сукупний дохiд)., </w:t>
            </w:r>
            <w:r>
              <w:rPr>
                <w:rFonts w:eastAsia="Times New Roman"/>
                <w:color w:val="000000"/>
                <w:sz w:val="20"/>
                <w:szCs w:val="20"/>
              </w:rPr>
              <w:br/>
              <w:t>зi збитком 1.0 тис.грн..</w:t>
            </w:r>
            <w:r>
              <w:rPr>
                <w:rFonts w:eastAsia="Times New Roman"/>
                <w:color w:val="000000"/>
                <w:sz w:val="20"/>
                <w:szCs w:val="20"/>
              </w:rPr>
              <w:br/>
              <w:t>3. Звiту про рух грошових коштiв (за прямим методом) за 2014р .</w:t>
            </w:r>
            <w:r>
              <w:rPr>
                <w:rFonts w:eastAsia="Times New Roman"/>
                <w:color w:val="000000"/>
                <w:sz w:val="20"/>
                <w:szCs w:val="20"/>
              </w:rPr>
              <w:br/>
              <w:t>4. Звiту про власний капiтал за 2014р., а також з стислого викладу суттєвих принципiв облiкової полiтики та iнших примiток.</w:t>
            </w:r>
            <w:r>
              <w:rPr>
                <w:rFonts w:eastAsia="Times New Roman"/>
                <w:color w:val="000000"/>
                <w:sz w:val="20"/>
                <w:szCs w:val="20"/>
              </w:rPr>
              <w:br/>
            </w:r>
            <w:r>
              <w:rPr>
                <w:rFonts w:eastAsia="Times New Roman"/>
                <w:color w:val="000000"/>
                <w:sz w:val="20"/>
                <w:szCs w:val="20"/>
              </w:rPr>
              <w:br/>
              <w:t>Вiдповiдальнiсть управлiнського персоналу:</w:t>
            </w:r>
            <w:r>
              <w:rPr>
                <w:rFonts w:eastAsia="Times New Roman"/>
                <w:color w:val="000000"/>
                <w:sz w:val="20"/>
                <w:szCs w:val="20"/>
              </w:rPr>
              <w:br/>
              <w:t>Управлiнський персонал несе вiдповiдальнiсть за складання i достовiрне подання цiєї фiнансової звiтностi вiдповiдно до вимог Закону України "Про бухгалтерський облiк i фiнансову звiтнiсть в Українi" вiд 16.07.1999р. № 996-ХIV, Мiжнародних стандартiв фiнансової звiтностi та за такий внутрiшнiй контроль, який управлiнський персонал визначає як необхiдний для того, щоб забезпечити складання фiнансової звiтностi, що не мiстить суттєвих викривлень унаслiдок шахрайства або помилки.</w:t>
            </w:r>
            <w:r>
              <w:rPr>
                <w:rFonts w:eastAsia="Times New Roman"/>
                <w:color w:val="000000"/>
                <w:sz w:val="20"/>
                <w:szCs w:val="20"/>
              </w:rPr>
              <w:br/>
              <w:t>Вiдповiдальнiсть аудитора:</w:t>
            </w:r>
            <w:r>
              <w:rPr>
                <w:rFonts w:eastAsia="Times New Roman"/>
                <w:color w:val="000000"/>
                <w:sz w:val="20"/>
                <w:szCs w:val="20"/>
              </w:rPr>
              <w:br/>
              <w:t>Нашою вiдповiдальнiстю є висловлення думки щодо цiєї фiнансової звiтностi на основi результатiв проведеного нами аудиту. Ми провели аудит вiдповiдно до Мiжнародних стандартiв аудиту. Цi стандарти вимагають 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w:t>
            </w:r>
            <w:r>
              <w:rPr>
                <w:rFonts w:eastAsia="Times New Roman"/>
                <w:color w:val="000000"/>
                <w:sz w:val="20"/>
                <w:szCs w:val="20"/>
              </w:rPr>
              <w:br/>
              <w:t>Обсяг аудиторської перевiрки:</w:t>
            </w:r>
            <w:r>
              <w:rPr>
                <w:rFonts w:eastAsia="Times New Roman"/>
                <w:color w:val="000000"/>
                <w:sz w:val="20"/>
                <w:szCs w:val="20"/>
              </w:rPr>
              <w:br/>
              <w:t>Нами проведено перевiрку вiдповiдно до вимог Закону України "Про аудиторську дiяльнiсть", Мiжнародних Стандартiв Аудиту та у вiдповiдностi до "Методичних рекомендацiй щодо формату аудиторського висновку ".</w:t>
            </w:r>
            <w:r>
              <w:rPr>
                <w:rFonts w:eastAsia="Times New Roman"/>
                <w:color w:val="000000"/>
                <w:sz w:val="20"/>
                <w:szCs w:val="20"/>
              </w:rPr>
              <w:br/>
              <w:t xml:space="preserve">Аудит передбачає виконання аудиторських процедур для отримання аудиторських доказiв щодо сум i розкриттiв у фiнансовiй звiтностi. Вибiр процедур залежить вiд судження аудитора, включаючи оцiнку ризикiв суттєвих </w:t>
            </w:r>
            <w:r>
              <w:rPr>
                <w:rFonts w:eastAsia="Times New Roman"/>
                <w:color w:val="000000"/>
                <w:sz w:val="20"/>
                <w:szCs w:val="20"/>
              </w:rPr>
              <w:lastRenderedPageBreak/>
              <w:t>викривлень фiнансової звiтностi внаслiдок шахрайства або помилки. 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 Аудит включає також оцiнку вiдповiдностi використаних облiкових полiтик, прийнятнiсть облiкових оцiнок, виконаних управлiнським персоналом, та оцiнку загального подання фiнансової звiтностi.</w:t>
            </w:r>
            <w:r>
              <w:rPr>
                <w:rFonts w:eastAsia="Times New Roman"/>
                <w:color w:val="000000"/>
                <w:sz w:val="20"/>
                <w:szCs w:val="20"/>
              </w:rPr>
              <w:br/>
              <w:t>Бухгалтерський облiк товариства ведеться за журнально-ордерною формою облiку у вiдповiдностi iз вимогами Закону України "Про бухгалтерський облiк та фiнансову звiтнiсть в Українi" № 996-ХIУ вiд 16.07.1999р. та концептуальної основи. Данi бухгалтерських рахункiв спiв ставнi в бухгалтерських регiстрах, головнiй книзi i балансi та пiдтверджуються первинними документами.</w:t>
            </w:r>
            <w:r>
              <w:rPr>
                <w:rFonts w:eastAsia="Times New Roman"/>
                <w:color w:val="000000"/>
                <w:sz w:val="20"/>
                <w:szCs w:val="20"/>
              </w:rPr>
              <w:br/>
              <w:t xml:space="preserve">Аудиторами не виявлено суттєвих невiдповiдностей мiж фiнансовою звiтнiстю, що перевiрялася, та iнформацiєю, що розкривається емiтентом i подається до Нацiональнiй комiсiї з цiнних паперiв та фондового ринку. </w:t>
            </w:r>
            <w:r>
              <w:rPr>
                <w:rFonts w:eastAsia="Times New Roman"/>
                <w:color w:val="000000"/>
                <w:sz w:val="20"/>
                <w:szCs w:val="20"/>
              </w:rPr>
              <w:br/>
              <w:t>Застосована товариством облiкова полiтика є прийнятною i вiдповiдає концептуальнiй основi фiнансової звiтностi, передбаченiй мiжнародними стандартами фiнансової звiтностi та чинним законодавством України. Облiковi оцiнки, зробленi управлiнським персоналом, є прийнятними. Iнформацiя, представлена у фiнансових звiтах, є вiдповiдною, надiйною, порiвняльною та зрозумiлою, що дозволяє користувачам зрозумiти вплив суттєвих операцiй та подiй на подану iнформацiю.</w:t>
            </w:r>
            <w:r>
              <w:rPr>
                <w:rFonts w:eastAsia="Times New Roman"/>
                <w:color w:val="000000"/>
                <w:sz w:val="20"/>
                <w:szCs w:val="20"/>
              </w:rPr>
              <w:br/>
              <w:t>Структура та змiст фiнансових звiтiв вiдповiдають вимогам чинного законодавства України. А тому фiнансовi звiти товариства, пiдготовленi та представленi у вiдповiдностi до цих вимог, не мiстять суттєвих викривлень.</w:t>
            </w:r>
            <w:r>
              <w:rPr>
                <w:rFonts w:eastAsia="Times New Roman"/>
                <w:color w:val="000000"/>
                <w:sz w:val="20"/>
                <w:szCs w:val="20"/>
              </w:rPr>
              <w:br/>
              <w:t xml:space="preserve">Фiнансова звiтнiсть складена на основi даних бухгалтерського облiку товариства у вiдповiдностi до вимог чинного законодавства. Iнформацiя за видами активiв розкрита в цiлому повно i об'єктивно, що дає змогу вiрно розумiти фiнансовий стан товариства. Iнформацiя за видами зобов'язань розкрита в цiлому повно i об'єктивно, що дає змогу вiрно розумiти фiнансовий стан товариства. Iнформацiя про власний капiтал розкрита в цiлому повно i об'єктивно, що дає змогу вiрно розумiти фiнансовий стан товариства. </w:t>
            </w:r>
            <w:r>
              <w:rPr>
                <w:rFonts w:eastAsia="Times New Roman"/>
                <w:color w:val="000000"/>
                <w:sz w:val="20"/>
                <w:szCs w:val="20"/>
              </w:rPr>
              <w:br/>
              <w:t>Розмiр чистих активiв товариства вiдповiдає вимогам п. 4 ст. 144 Цивiльного Кодексу України.</w:t>
            </w:r>
            <w:r>
              <w:rPr>
                <w:rFonts w:eastAsia="Times New Roman"/>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на Українi, якi вимагають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rFonts w:eastAsia="Times New Roman"/>
                <w:color w:val="000000"/>
                <w:sz w:val="20"/>
                <w:szCs w:val="20"/>
              </w:rPr>
              <w:br/>
              <w:t>Аудитор вважає за можливе пiдтвердити, що прийнята система бухгалтерського облiку в цiлому задовольняє законодавчим i нормативним вимогам, дiючим на Українi.</w:t>
            </w:r>
            <w:r>
              <w:rPr>
                <w:rFonts w:eastAsia="Times New Roman"/>
                <w:color w:val="000000"/>
                <w:sz w:val="20"/>
                <w:szCs w:val="20"/>
              </w:rPr>
              <w:br/>
              <w:t>На нашу думку, проведена аудиторська перевiрка забезпечує розумну основу для аудиторського висновку.</w:t>
            </w:r>
            <w:r>
              <w:rPr>
                <w:rFonts w:eastAsia="Times New Roman"/>
                <w:color w:val="000000"/>
                <w:sz w:val="20"/>
                <w:szCs w:val="20"/>
              </w:rPr>
              <w:br/>
              <w:t xml:space="preserve">Умовно-позитивна думка </w:t>
            </w:r>
            <w:r>
              <w:rPr>
                <w:rFonts w:eastAsia="Times New Roman"/>
                <w:color w:val="000000"/>
                <w:sz w:val="20"/>
                <w:szCs w:val="20"/>
              </w:rPr>
              <w:br/>
              <w:t xml:space="preserve">Звертаємо увагу на умови здiйснення дiяльностi у звiтному роцi, а саме на полiтичнi та економiчнi змiни в Українi, якi впливали та можуть впливати на дiяльнiсть Товариства. Крiм того, ми були призначенi аудиторами компанiї пiсля 31 грудня 2014року, ми не мали змоги спостерiгати за iнвентаризацiєю основних засобiв та зобов'язань на початок i на кiнець року (тому висловлення думки щодо вказаного базується на наявних документах бухгалтерського облiку) , що є обмеженням обсягу роботи, у зв'язку з чим нами висловлюється умовно-позитивна думка. </w:t>
            </w:r>
            <w:r>
              <w:rPr>
                <w:rFonts w:eastAsia="Times New Roman"/>
                <w:color w:val="000000"/>
                <w:sz w:val="20"/>
                <w:szCs w:val="20"/>
              </w:rPr>
              <w:br/>
              <w:t xml:space="preserve">Концептуальною основою фiнансової звiтностi є загальнi вимоги стосовно подання iнформацiї про фiнансову звiтнiсть згiдно з Мiжнародними стандартами фiнансової звiтностi, дiючими в Українi, якi вимагають правдивого розкриття i подання iнформацiї у вiдповiдностi з принципами безперервностi, послiдовностi, суттєвостi, порiвнянностi iнформацiї, структури та змiсту фiнансової звiтностi. </w:t>
            </w:r>
            <w:r>
              <w:rPr>
                <w:rFonts w:eastAsia="Times New Roman"/>
                <w:color w:val="000000"/>
                <w:sz w:val="20"/>
                <w:szCs w:val="20"/>
              </w:rPr>
              <w:br/>
              <w:t>На нашу думку, за винятком впливу питання, про яке йдеться у параграфi "Аудиторська думка" фiнансова звiтнiсть, вiдповiдно до визначеної концептуальної основи фiнансової звiтностi та прийнятої облiкової полiтики Товариства, i вiдповiдає встановленим вимогам чинного законодавства України та Мiжнародних стандартiв фiнансової звiтностi, вiдображає достовiрно в усiх суттєвих аспектах фiнансовий стан Публiчного акцiонерного товариства «Райагротехсервiс» 2014 року, а також результати його дiяльностi, рух грошових коштiв та капiталу за 2014 рiк.</w:t>
            </w:r>
            <w:r>
              <w:rPr>
                <w:rFonts w:eastAsia="Times New Roman"/>
                <w:color w:val="000000"/>
                <w:sz w:val="20"/>
                <w:szCs w:val="20"/>
              </w:rPr>
              <w:br/>
              <w:t>Активи i зобов’язання враховуються на тiй пiдставi, що Товариство зможе виконати свої зобов’язання i реалiзувати активи в процесi звичайної дiяльностi як мiнiмум 12 мiсяцiв з дати складання перевiреної аудитором фiнансової звiтностi. Проведенi аудиторськi процедури дають нам можливiсть пiдтвердити припущення про безперервнiсть дiяльностi Товариства. Рiчна фiнансова звiтнiсть вiдображає поточну оцiнку управлiнським персоналом можливого впливу умов здiйснення дiяльностi на операцiї та фiнансовий стан Товариства та не мiстить посилання, якi могли б мати мiсце, якби Товариство не змогло продовжувати свою дiяльнiсть у майбутньому.</w:t>
            </w:r>
            <w:r>
              <w:rPr>
                <w:rFonts w:eastAsia="Times New Roman"/>
                <w:color w:val="000000"/>
                <w:sz w:val="20"/>
                <w:szCs w:val="20"/>
              </w:rPr>
              <w:br/>
              <w:t>Проведений аналiз показникiв фiнансового стану товариства дає нам можливiсть зробити висновок, що вищевказаний досягнутий рiвень показникiв забезпечує Товариству середню платоспроможнiсть та фiнансову стiйкiсть при вiрогiдностi його безперервного функцiонування, як суб’єкта господарювання.</w:t>
            </w:r>
            <w:r>
              <w:rPr>
                <w:rFonts w:eastAsia="Times New Roman"/>
                <w:color w:val="000000"/>
                <w:sz w:val="20"/>
                <w:szCs w:val="20"/>
              </w:rPr>
              <w:br/>
              <w:t>Станом на звiтну дату Товариство не має в управлiннi активiв недержавних пенсiйних фондiв.</w:t>
            </w:r>
            <w:r>
              <w:rPr>
                <w:rFonts w:eastAsia="Times New Roman"/>
                <w:color w:val="000000"/>
                <w:sz w:val="20"/>
                <w:szCs w:val="20"/>
              </w:rPr>
              <w:br/>
              <w:t>Звiт включає 21 сторiнку, пiдписаних аудитором.</w:t>
            </w:r>
            <w:r>
              <w:rPr>
                <w:rFonts w:eastAsia="Times New Roman"/>
                <w:color w:val="000000"/>
                <w:sz w:val="20"/>
                <w:szCs w:val="20"/>
              </w:rPr>
              <w:br/>
            </w:r>
            <w:r>
              <w:rPr>
                <w:rFonts w:eastAsia="Times New Roman"/>
                <w:color w:val="000000"/>
                <w:sz w:val="20"/>
                <w:szCs w:val="20"/>
              </w:rPr>
              <w:br/>
              <w:t>Помiчник аудитора Нагородна М.В.</w:t>
            </w:r>
            <w:r>
              <w:rPr>
                <w:rFonts w:eastAsia="Times New Roman"/>
                <w:color w:val="000000"/>
                <w:sz w:val="20"/>
                <w:szCs w:val="20"/>
              </w:rPr>
              <w:br/>
              <w:t>Аудитор Холод В.I.</w:t>
            </w:r>
            <w:r>
              <w:rPr>
                <w:rFonts w:eastAsia="Times New Roman"/>
                <w:color w:val="000000"/>
                <w:sz w:val="20"/>
                <w:szCs w:val="20"/>
              </w:rPr>
              <w:br/>
              <w:t>Сертифiкат серiї А № 003202 вiд 25.09.2011р.</w:t>
            </w:r>
            <w:r>
              <w:rPr>
                <w:rFonts w:eastAsia="Times New Roman"/>
                <w:color w:val="000000"/>
                <w:sz w:val="20"/>
                <w:szCs w:val="20"/>
              </w:rPr>
              <w:br/>
              <w:t>Директор аудиторської фiрми Кузуб М.В.</w:t>
            </w:r>
            <w:r>
              <w:rPr>
                <w:rFonts w:eastAsia="Times New Roman"/>
                <w:color w:val="000000"/>
                <w:sz w:val="20"/>
                <w:szCs w:val="20"/>
              </w:rPr>
              <w:br/>
            </w:r>
            <w:r>
              <w:rPr>
                <w:rFonts w:eastAsia="Times New Roman"/>
                <w:color w:val="000000"/>
                <w:sz w:val="20"/>
                <w:szCs w:val="20"/>
              </w:rPr>
              <w:lastRenderedPageBreak/>
              <w:t>“ Ю В М - а у д и т “ Сертифiкат серiї А № 004416 вiд 29.10.2009р.- АПУ</w:t>
            </w:r>
            <w:r>
              <w:rPr>
                <w:rFonts w:eastAsia="Times New Roman"/>
                <w:color w:val="000000"/>
                <w:sz w:val="20"/>
                <w:szCs w:val="20"/>
              </w:rPr>
              <w:br/>
              <w:t>Свiдоцтво серiї АБ №000626 вiд 11.12.2007р. - ДКЦПФР</w:t>
            </w:r>
            <w:r>
              <w:rPr>
                <w:rFonts w:eastAsia="Times New Roman"/>
                <w:color w:val="000000"/>
                <w:sz w:val="20"/>
                <w:szCs w:val="20"/>
              </w:rPr>
              <w:br/>
            </w:r>
            <w:r>
              <w:rPr>
                <w:rFonts w:eastAsia="Times New Roman"/>
                <w:color w:val="000000"/>
                <w:sz w:val="20"/>
                <w:szCs w:val="20"/>
              </w:rPr>
              <w:br/>
              <w:t>Дата видачi аудиторського висновку 17 квiтня 2015р.</w:t>
            </w:r>
          </w:p>
        </w:tc>
      </w:tr>
      <w:tr w:rsidR="00A523C1" w:rsidTr="00A523C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lastRenderedPageBreak/>
              <w:t>д/н</w:t>
            </w:r>
          </w:p>
        </w:tc>
      </w:tr>
      <w:tr w:rsidR="00A523C1" w:rsidTr="00A523C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д/н</w:t>
            </w:r>
          </w:p>
        </w:tc>
      </w:tr>
      <w:tr w:rsidR="00A523C1" w:rsidTr="00A523C1">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sectPr w:rsidR="00A523C1">
          <w:pgSz w:w="11907" w:h="16840"/>
          <w:pgMar w:top="1134" w:right="851"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A523C1" w:rsidRDefault="00A523C1" w:rsidP="00A523C1">
      <w:pPr>
        <w:pStyle w:val="3"/>
        <w:rPr>
          <w:rFonts w:eastAsia="Times New Roman"/>
          <w:color w:val="000000"/>
        </w:rPr>
      </w:pPr>
      <w:r>
        <w:rPr>
          <w:rFonts w:eastAsia="Times New Roman"/>
          <w:color w:val="000000"/>
        </w:rPr>
        <w:t>ЗАГАЛЬНІ ЗБОРИ АКЦІОНЕРІВ</w:t>
      </w:r>
    </w:p>
    <w:p w:rsidR="00A523C1" w:rsidRDefault="00A523C1" w:rsidP="00A523C1">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Look w:val="04A0"/>
      </w:tblPr>
      <w:tblGrid>
        <w:gridCol w:w="1032"/>
        <w:gridCol w:w="2065"/>
        <w:gridCol w:w="4130"/>
        <w:gridCol w:w="3098"/>
      </w:tblGrid>
      <w:tr w:rsidR="00A523C1" w:rsidTr="00A523C1">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Інше (запишіть): Збори у 2015 роцi не вiдбулися у звязку з вiдсутнiстю кворуму</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Інше (запишіть): Бюлетенями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bl>
    <w:p w:rsidR="00A523C1" w:rsidRDefault="00A523C1" w:rsidP="00A523C1">
      <w:pPr>
        <w:rPr>
          <w:rFonts w:eastAsia="Times New Roman"/>
          <w:color w:val="000000"/>
        </w:rPr>
      </w:pPr>
    </w:p>
    <w:tbl>
      <w:tblPr>
        <w:tblW w:w="5000" w:type="pct"/>
        <w:tblLook w:val="04A0"/>
      </w:tblPr>
      <w:tblGrid>
        <w:gridCol w:w="9965"/>
        <w:gridCol w:w="360"/>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Ні</w:t>
            </w:r>
          </w:p>
        </w:tc>
      </w:tr>
    </w:tbl>
    <w:p w:rsidR="00A523C1" w:rsidRDefault="00A523C1" w:rsidP="00A523C1">
      <w:pPr>
        <w:pStyle w:val="3"/>
        <w:rPr>
          <w:rFonts w:eastAsia="Times New Roman"/>
          <w:color w:val="000000"/>
        </w:rPr>
      </w:pPr>
      <w:r>
        <w:rPr>
          <w:rFonts w:eastAsia="Times New Roman"/>
          <w:color w:val="000000"/>
        </w:rPr>
        <w:t>ОРГАНИ УПРАВЛІННЯ</w:t>
      </w:r>
    </w:p>
    <w:p w:rsidR="00A523C1" w:rsidRDefault="00A523C1" w:rsidP="00A523C1">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Look w:val="04A0"/>
      </w:tblPr>
      <w:tblGrid>
        <w:gridCol w:w="8776"/>
        <w:gridCol w:w="1549"/>
      </w:tblGrid>
      <w:tr w:rsidR="00A523C1" w:rsidTr="00A523C1">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(осіб)</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Кількість членів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Кількість представників акціонерів, що працюють у товаристві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Кількість представників держави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більше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Кількість представників акціонерів, що володіють меньше 10 відсотків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Кількість представників акціонерів - юридичних осіб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t>дн</w:t>
            </w:r>
          </w:p>
        </w:tc>
      </w:tr>
    </w:tbl>
    <w:p w:rsidR="00A523C1" w:rsidRDefault="00A523C1" w:rsidP="00A523C1">
      <w:pPr>
        <w:rPr>
          <w:rFonts w:eastAsia="Times New Roman"/>
          <w:color w:val="000000"/>
        </w:rPr>
      </w:pPr>
    </w:p>
    <w:tbl>
      <w:tblPr>
        <w:tblW w:w="5000" w:type="pct"/>
        <w:tblLook w:val="04A0"/>
      </w:tblPr>
      <w:tblGrid>
        <w:gridCol w:w="10085"/>
        <w:gridCol w:w="240"/>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Не створено</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rPr>
                <w:rFonts w:eastAsia="Times New Roman"/>
                <w:color w:val="000000"/>
              </w:rPr>
            </w:pPr>
            <w:r>
              <w:rPr>
                <w:rFonts w:eastAsia="Times New Roman"/>
                <w:color w:val="000000"/>
              </w:rPr>
              <w:lastRenderedPageBreak/>
              <w:t>дн</w:t>
            </w:r>
          </w:p>
        </w:tc>
      </w:tr>
    </w:tbl>
    <w:p w:rsidR="00A523C1" w:rsidRDefault="00A523C1" w:rsidP="00A523C1">
      <w:pPr>
        <w:rPr>
          <w:rFonts w:eastAsia="Times New Roman"/>
          <w:color w:val="000000"/>
        </w:rPr>
      </w:pPr>
    </w:p>
    <w:tbl>
      <w:tblPr>
        <w:tblW w:w="5000" w:type="pct"/>
        <w:tblLook w:val="04A0"/>
      </w:tblPr>
      <w:tblGrid>
        <w:gridCol w:w="9965"/>
        <w:gridCol w:w="360"/>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Ні</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tbl>
      <w:tblPr>
        <w:tblW w:w="5000" w:type="pct"/>
        <w:tblLook w:val="04A0"/>
      </w:tblPr>
      <w:tblGrid>
        <w:gridCol w:w="8314"/>
        <w:gridCol w:w="2011"/>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так, створено ревізійну комісію</w:t>
            </w:r>
          </w:p>
        </w:tc>
      </w:tr>
    </w:tbl>
    <w:p w:rsidR="00A523C1" w:rsidRDefault="00A523C1" w:rsidP="00A523C1">
      <w:pPr>
        <w:pStyle w:val="4"/>
        <w:jc w:val="left"/>
        <w:rPr>
          <w:rFonts w:eastAsia="Times New Roman"/>
          <w:color w:val="000000"/>
        </w:rPr>
      </w:pPr>
      <w:r>
        <w:rPr>
          <w:rFonts w:eastAsia="Times New Roman"/>
          <w:color w:val="000000"/>
        </w:rPr>
        <w:t>Якщо в товаристві створено ревізійну комісію:</w:t>
      </w:r>
    </w:p>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кількість членів ревізійної комісії 3 осіб;</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1</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Look w:val="04A0"/>
      </w:tblPr>
      <w:tblGrid>
        <w:gridCol w:w="5511"/>
        <w:gridCol w:w="1085"/>
        <w:gridCol w:w="1096"/>
        <w:gridCol w:w="1251"/>
        <w:gridCol w:w="1382"/>
      </w:tblGrid>
      <w:tr w:rsidR="00A523C1" w:rsidTr="00A523C1">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A523C1" w:rsidRDefault="00A523C1" w:rsidP="00A523C1">
      <w:pPr>
        <w:rPr>
          <w:rFonts w:eastAsia="Times New Roman"/>
          <w:color w:val="000000"/>
        </w:rPr>
      </w:pPr>
      <w:r>
        <w:rPr>
          <w:rFonts w:eastAsia="Times New Roman"/>
          <w:color w:val="000000"/>
        </w:rPr>
        <w:br/>
      </w:r>
    </w:p>
    <w:p w:rsidR="00A523C1" w:rsidRDefault="00A523C1" w:rsidP="00A523C1">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lastRenderedPageBreak/>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Look w:val="04A0"/>
      </w:tblPr>
      <w:tblGrid>
        <w:gridCol w:w="2794"/>
        <w:gridCol w:w="1811"/>
        <w:gridCol w:w="1814"/>
        <w:gridCol w:w="1407"/>
        <w:gridCol w:w="1139"/>
        <w:gridCol w:w="1360"/>
      </w:tblGrid>
      <w:tr w:rsidR="00A523C1" w:rsidTr="00A523C1">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 xml:space="preserve">Публікується у пресі, оприлюднюється в загальнодоступній інформаційній базі даних НКЦПФР про ринок цінних паперів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Ні</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Так</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Закiнчення термiну дiї лiцензiї .</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д/н</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A523C1" w:rsidRDefault="00A523C1" w:rsidP="00A523C1">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A523C1" w:rsidRDefault="00A523C1" w:rsidP="00A523C1">
      <w:pPr>
        <w:pStyle w:val="4"/>
        <w:jc w:val="left"/>
        <w:rPr>
          <w:rFonts w:eastAsia="Times New Roman"/>
          <w:color w:val="000000"/>
        </w:rPr>
      </w:pPr>
      <w:r>
        <w:rPr>
          <w:rFonts w:eastAsia="Times New Roman"/>
          <w:color w:val="000000"/>
        </w:rPr>
        <w:lastRenderedPageBreak/>
        <w:t>Чи планує ваше акціонерне товариство залучити інвестиції кожним з цих способів протягом наступних трьох років?</w:t>
      </w:r>
    </w:p>
    <w:tbl>
      <w:tblPr>
        <w:tblW w:w="5000" w:type="pct"/>
        <w:tblLook w:val="04A0"/>
      </w:tblPr>
      <w:tblGrid>
        <w:gridCol w:w="7227"/>
        <w:gridCol w:w="1549"/>
        <w:gridCol w:w="1549"/>
      </w:tblGrid>
      <w:tr w:rsidR="00A523C1" w:rsidTr="00A523C1">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bl>
    <w:p w:rsidR="00A523C1" w:rsidRDefault="00A523C1" w:rsidP="00A523C1">
      <w:pPr>
        <w:rPr>
          <w:rFonts w:eastAsia="Times New Roman"/>
          <w:color w:val="000000"/>
        </w:rPr>
      </w:pPr>
    </w:p>
    <w:p w:rsidR="00A523C1" w:rsidRDefault="00A523C1" w:rsidP="00A523C1">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Look w:val="04A0"/>
      </w:tblPr>
      <w:tblGrid>
        <w:gridCol w:w="8776"/>
        <w:gridCol w:w="1549"/>
      </w:tblGrid>
      <w:tr w:rsidR="00A523C1" w:rsidTr="00A523C1">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523C1" w:rsidRDefault="00A523C1">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планує ваше акціонерне товариство включити власні акції до лістингу фондових бірж протягом наступних трьох років? (так/ні/не визначились) Ні</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корпоративного управління? (так/ні) Ні; укажіть яким чином його оприлюднено: д/н </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д/н</w:t>
            </w:r>
          </w:p>
        </w:tc>
      </w:tr>
    </w:tbl>
    <w:p w:rsidR="00A523C1" w:rsidRDefault="00A523C1" w:rsidP="00A523C1">
      <w:pPr>
        <w:rPr>
          <w:rFonts w:eastAsia="Times New Roman"/>
          <w:color w:val="000000"/>
        </w:rPr>
        <w:sectPr w:rsidR="00A523C1">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A523C1" w:rsidTr="00A523C1">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КОДИ</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2016 | 01 | 01</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20430300</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2124456200</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230</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68.20</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3</w:t>
            </w:r>
          </w:p>
        </w:tc>
        <w:tc>
          <w:tcPr>
            <w:tcW w:w="0" w:type="auto"/>
            <w:gridSpan w:val="2"/>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90564 Україна Закарпатська Тячiвський смт. Тересва вул. Терешкової, 10/а</w:t>
            </w:r>
          </w:p>
        </w:tc>
        <w:tc>
          <w:tcPr>
            <w:tcW w:w="0" w:type="auto"/>
            <w:gridSpan w:val="2"/>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w:t>
            </w: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за положеннями (стандартами бухгалтерського обліку)</w:t>
            </w: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gridSpan w:val="2"/>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за міжнародними стандартами фінансової звітності</w:t>
            </w: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V</w:t>
            </w:r>
          </w:p>
        </w:tc>
      </w:tr>
    </w:tbl>
    <w:p w:rsidR="00A523C1" w:rsidRDefault="00A523C1" w:rsidP="00A523C1">
      <w:pPr>
        <w:rPr>
          <w:rFonts w:eastAsia="Times New Roman"/>
          <w:color w:val="000000"/>
        </w:rPr>
      </w:pPr>
    </w:p>
    <w:p w:rsidR="00A523C1" w:rsidRDefault="00A523C1" w:rsidP="00A523C1">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31.12.2015 р.</w:t>
      </w:r>
    </w:p>
    <w:p w:rsidR="00A523C1" w:rsidRDefault="00A523C1" w:rsidP="00A523C1">
      <w:pPr>
        <w:rPr>
          <w:rFonts w:eastAsia="Times New Roman"/>
          <w:color w:val="000000"/>
        </w:rPr>
      </w:pPr>
    </w:p>
    <w:tbl>
      <w:tblPr>
        <w:tblW w:w="5000" w:type="pct"/>
        <w:tblLook w:val="04A0"/>
      </w:tblPr>
      <w:tblGrid>
        <w:gridCol w:w="4645"/>
        <w:gridCol w:w="1033"/>
        <w:gridCol w:w="1549"/>
        <w:gridCol w:w="1549"/>
        <w:gridCol w:w="1549"/>
      </w:tblGrid>
      <w:tr w:rsidR="00A523C1" w:rsidTr="00A523C1">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5</w:t>
            </w:r>
          </w:p>
        </w:tc>
      </w:tr>
      <w:tr w:rsidR="00A523C1" w:rsidTr="00A523C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 Необоротні активи</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1269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642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II. Оборотні активи</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99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bl>
    <w:p w:rsidR="00A523C1" w:rsidRDefault="00A523C1" w:rsidP="00A523C1">
      <w:pPr>
        <w:rPr>
          <w:rFonts w:eastAsia="Times New Roman"/>
          <w:color w:val="000000"/>
        </w:rPr>
      </w:pPr>
    </w:p>
    <w:tbl>
      <w:tblPr>
        <w:tblW w:w="5000" w:type="pct"/>
        <w:tblLook w:val="04A0"/>
      </w:tblPr>
      <w:tblGrid>
        <w:gridCol w:w="4645"/>
        <w:gridCol w:w="1033"/>
        <w:gridCol w:w="1549"/>
        <w:gridCol w:w="1549"/>
        <w:gridCol w:w="1549"/>
      </w:tblGrid>
      <w:tr w:rsidR="00A523C1" w:rsidTr="00A523C1">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A523C1" w:rsidTr="00A523C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 Власний капітал</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bl>
    <w:p w:rsidR="00A523C1" w:rsidRDefault="00A523C1" w:rsidP="00A523C1">
      <w:pPr>
        <w:rPr>
          <w:rFonts w:eastAsia="Times New Roman"/>
          <w:color w:val="000000"/>
        </w:rPr>
      </w:pPr>
    </w:p>
    <w:tbl>
      <w:tblPr>
        <w:tblW w:w="5000" w:type="pct"/>
        <w:tblLook w:val="04A0"/>
      </w:tblPr>
      <w:tblGrid>
        <w:gridCol w:w="4130"/>
        <w:gridCol w:w="6195"/>
      </w:tblGrid>
      <w:tr w:rsidR="00A523C1" w:rsidTr="00A523C1">
        <w:tc>
          <w:tcPr>
            <w:tcW w:w="2000" w:type="pct"/>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Неоплачений капiтал у товариства вiдсутнiй.</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Маркуш М.В.</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Половко I.А.</w:t>
            </w:r>
          </w:p>
        </w:tc>
      </w:tr>
    </w:tbl>
    <w:p w:rsidR="00A523C1" w:rsidRDefault="00A523C1" w:rsidP="00A523C1">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A523C1" w:rsidTr="00A523C1">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КОДИ</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2016 | 01 | 01</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20430300</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bl>
    <w:p w:rsidR="00A523C1" w:rsidRDefault="00A523C1" w:rsidP="00A523C1">
      <w:pPr>
        <w:rPr>
          <w:rFonts w:eastAsia="Times New Roman"/>
          <w:color w:val="000000"/>
        </w:rPr>
      </w:pPr>
    </w:p>
    <w:p w:rsidR="00A523C1" w:rsidRDefault="00A523C1" w:rsidP="00A523C1">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2015 р.</w:t>
      </w:r>
    </w:p>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jc w:val="center"/>
              <w:rPr>
                <w:rFonts w:eastAsia="Times New Roman"/>
                <w:color w:val="000000"/>
              </w:rPr>
            </w:pPr>
            <w:r>
              <w:rPr>
                <w:rFonts w:eastAsia="Times New Roman"/>
                <w:color w:val="000000"/>
              </w:rPr>
              <w:t>I. ФІНАНСОВІ РЕЗУЛЬТАТИ</w:t>
            </w:r>
          </w:p>
        </w:tc>
      </w:tr>
    </w:tbl>
    <w:p w:rsidR="00A523C1" w:rsidRDefault="00A523C1" w:rsidP="00A523C1">
      <w:pPr>
        <w:rPr>
          <w:rFonts w:eastAsia="Times New Roman"/>
          <w:vanish/>
          <w:color w:val="000000"/>
        </w:rPr>
      </w:pPr>
    </w:p>
    <w:tbl>
      <w:tblPr>
        <w:tblW w:w="5000" w:type="pct"/>
        <w:tblLook w:val="04A0"/>
      </w:tblPr>
      <w:tblGrid>
        <w:gridCol w:w="5162"/>
        <w:gridCol w:w="1033"/>
        <w:gridCol w:w="2065"/>
        <w:gridCol w:w="2065"/>
      </w:tblGrid>
      <w:tr w:rsidR="00A523C1" w:rsidTr="00A523C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176</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( 376 )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( 166 )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( 11 )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xml:space="preserve">Витрат від первісного визнання біологічних активів і </w:t>
            </w:r>
            <w:r>
              <w:rPr>
                <w:rFonts w:eastAsia="Times New Roman"/>
                <w:color w:val="000000"/>
                <w:sz w:val="20"/>
                <w:szCs w:val="20"/>
              </w:rPr>
              <w:lastRenderedPageBreak/>
              <w:t>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lastRenderedPageBreak/>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b/>
                <w:bCs/>
                <w:color w:val="000000"/>
                <w:sz w:val="20"/>
                <w:szCs w:val="20"/>
              </w:rPr>
              <w:lastRenderedPageBreak/>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-1 )</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jc w:val="center"/>
              <w:rPr>
                <w:rFonts w:eastAsia="Times New Roman"/>
                <w:color w:val="000000"/>
              </w:rPr>
            </w:pPr>
            <w:r>
              <w:rPr>
                <w:rFonts w:eastAsia="Times New Roman"/>
                <w:color w:val="000000"/>
              </w:rPr>
              <w:t>II. СУКУПНИЙ ДОХІД</w:t>
            </w:r>
          </w:p>
        </w:tc>
      </w:tr>
    </w:tbl>
    <w:p w:rsidR="00A523C1" w:rsidRDefault="00A523C1" w:rsidP="00A523C1">
      <w:pPr>
        <w:rPr>
          <w:rFonts w:eastAsia="Times New Roman"/>
          <w:vanish/>
          <w:color w:val="000000"/>
        </w:rPr>
      </w:pPr>
    </w:p>
    <w:tbl>
      <w:tblPr>
        <w:tblW w:w="5000" w:type="pct"/>
        <w:tblLook w:val="04A0"/>
      </w:tblPr>
      <w:tblGrid>
        <w:gridCol w:w="5162"/>
        <w:gridCol w:w="1033"/>
        <w:gridCol w:w="2065"/>
        <w:gridCol w:w="2065"/>
      </w:tblGrid>
      <w:tr w:rsidR="00A523C1" w:rsidTr="00A523C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jc w:val="center"/>
              <w:rPr>
                <w:rFonts w:eastAsia="Times New Roman"/>
                <w:color w:val="000000"/>
              </w:rPr>
            </w:pPr>
            <w:r>
              <w:rPr>
                <w:rFonts w:eastAsia="Times New Roman"/>
                <w:color w:val="000000"/>
              </w:rPr>
              <w:t>III. ЕЛЕМЕНТИ ОПЕРАЦІЙНИХ ВИТРАТ</w:t>
            </w:r>
          </w:p>
        </w:tc>
      </w:tr>
    </w:tbl>
    <w:p w:rsidR="00A523C1" w:rsidRDefault="00A523C1" w:rsidP="00A523C1">
      <w:pPr>
        <w:rPr>
          <w:rFonts w:eastAsia="Times New Roman"/>
          <w:vanish/>
          <w:color w:val="000000"/>
        </w:rPr>
      </w:pPr>
    </w:p>
    <w:tbl>
      <w:tblPr>
        <w:tblW w:w="5000" w:type="pct"/>
        <w:tblLook w:val="04A0"/>
      </w:tblPr>
      <w:tblGrid>
        <w:gridCol w:w="5162"/>
        <w:gridCol w:w="1033"/>
        <w:gridCol w:w="2065"/>
        <w:gridCol w:w="2065"/>
      </w:tblGrid>
      <w:tr w:rsidR="00A523C1" w:rsidTr="00A523C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44</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16</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61</w:t>
            </w:r>
          </w:p>
        </w:tc>
      </w:tr>
    </w:tbl>
    <w:p w:rsidR="00A523C1" w:rsidRDefault="00A523C1" w:rsidP="00A523C1">
      <w:pPr>
        <w:rPr>
          <w:rFonts w:eastAsia="Times New Roman"/>
          <w:color w:val="000000"/>
        </w:rPr>
      </w:pPr>
    </w:p>
    <w:tbl>
      <w:tblPr>
        <w:tblW w:w="5000" w:type="pct"/>
        <w:tblLook w:val="04A0"/>
      </w:tblPr>
      <w:tblGrid>
        <w:gridCol w:w="10325"/>
      </w:tblGrid>
      <w:tr w:rsidR="00A523C1" w:rsidTr="00A523C1">
        <w:tc>
          <w:tcPr>
            <w:tcW w:w="0" w:type="auto"/>
            <w:tcMar>
              <w:top w:w="60" w:type="dxa"/>
              <w:left w:w="60" w:type="dxa"/>
              <w:bottom w:w="60" w:type="dxa"/>
              <w:right w:w="60" w:type="dxa"/>
            </w:tcMar>
            <w:hideMark/>
          </w:tcPr>
          <w:p w:rsidR="00A523C1" w:rsidRDefault="00A523C1">
            <w:pPr>
              <w:jc w:val="center"/>
              <w:rPr>
                <w:rFonts w:eastAsia="Times New Roman"/>
                <w:color w:val="000000"/>
              </w:rPr>
            </w:pPr>
            <w:r>
              <w:rPr>
                <w:rFonts w:eastAsia="Times New Roman"/>
                <w:color w:val="000000"/>
              </w:rPr>
              <w:t>ІV. РОЗРАХУНОК ПОКАЗНИКІВ ПРИБУТКОВОСТІ АКЦІЙ</w:t>
            </w:r>
          </w:p>
        </w:tc>
      </w:tr>
    </w:tbl>
    <w:p w:rsidR="00A523C1" w:rsidRDefault="00A523C1" w:rsidP="00A523C1">
      <w:pPr>
        <w:rPr>
          <w:rFonts w:eastAsia="Times New Roman"/>
          <w:vanish/>
          <w:color w:val="000000"/>
        </w:rPr>
      </w:pPr>
    </w:p>
    <w:tbl>
      <w:tblPr>
        <w:tblW w:w="5000" w:type="pct"/>
        <w:tblLook w:val="04A0"/>
      </w:tblPr>
      <w:tblGrid>
        <w:gridCol w:w="5162"/>
        <w:gridCol w:w="1033"/>
        <w:gridCol w:w="2065"/>
        <w:gridCol w:w="2065"/>
      </w:tblGrid>
      <w:tr w:rsidR="00A523C1" w:rsidTr="00A523C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76440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76440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76440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76440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-0.0013</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-0.0013</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rPr>
          <w:rFonts w:eastAsia="Times New Roman"/>
          <w:color w:val="000000"/>
        </w:rPr>
      </w:pPr>
    </w:p>
    <w:tbl>
      <w:tblPr>
        <w:tblW w:w="5000" w:type="pct"/>
        <w:tblLook w:val="04A0"/>
      </w:tblPr>
      <w:tblGrid>
        <w:gridCol w:w="4130"/>
        <w:gridCol w:w="6195"/>
      </w:tblGrid>
      <w:tr w:rsidR="00A523C1" w:rsidTr="00A523C1">
        <w:tc>
          <w:tcPr>
            <w:tcW w:w="2000" w:type="pct"/>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У товариства чистий фiнансовий результат складає - "0"</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Маркуш М. В.</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Половко I.А</w:t>
            </w:r>
          </w:p>
        </w:tc>
      </w:tr>
    </w:tbl>
    <w:p w:rsidR="00A523C1" w:rsidRDefault="00A523C1" w:rsidP="00A523C1">
      <w:pPr>
        <w:rPr>
          <w:rFonts w:eastAsia="Times New Roman"/>
          <w:vanish/>
          <w:color w:val="000000"/>
        </w:rPr>
      </w:pPr>
      <w:r>
        <w:rPr>
          <w:rFonts w:eastAsia="Times New Roman"/>
          <w:color w:val="000000"/>
        </w:rPr>
        <w:br w:type="page"/>
      </w:r>
    </w:p>
    <w:tbl>
      <w:tblPr>
        <w:tblW w:w="5000" w:type="pct"/>
        <w:tblLook w:val="04A0"/>
      </w:tblPr>
      <w:tblGrid>
        <w:gridCol w:w="2065"/>
        <w:gridCol w:w="4646"/>
        <w:gridCol w:w="2065"/>
        <w:gridCol w:w="1549"/>
      </w:tblGrid>
      <w:tr w:rsidR="00A523C1" w:rsidTr="00A523C1">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КОДИ</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2016 | 01 | 01</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20430300</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bl>
    <w:p w:rsidR="00A523C1" w:rsidRDefault="00A523C1" w:rsidP="00A523C1">
      <w:pPr>
        <w:rPr>
          <w:rFonts w:eastAsia="Times New Roman"/>
          <w:color w:val="000000"/>
        </w:rPr>
      </w:pPr>
    </w:p>
    <w:p w:rsidR="00A523C1" w:rsidRDefault="00A523C1" w:rsidP="00A523C1">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2015 р.</w:t>
      </w:r>
    </w:p>
    <w:p w:rsidR="00A523C1" w:rsidRDefault="00A523C1" w:rsidP="00A523C1">
      <w:pPr>
        <w:rPr>
          <w:rFonts w:eastAsia="Times New Roman"/>
          <w:color w:val="000000"/>
        </w:rPr>
      </w:pPr>
    </w:p>
    <w:tbl>
      <w:tblPr>
        <w:tblW w:w="5000" w:type="pct"/>
        <w:tblLook w:val="04A0"/>
      </w:tblPr>
      <w:tblGrid>
        <w:gridCol w:w="5162"/>
        <w:gridCol w:w="1033"/>
        <w:gridCol w:w="2065"/>
        <w:gridCol w:w="2065"/>
      </w:tblGrid>
      <w:tr w:rsidR="00A523C1" w:rsidTr="00A523C1">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w:t>
            </w:r>
          </w:p>
        </w:tc>
      </w:tr>
      <w:tr w:rsidR="00A523C1" w:rsidTr="00A523C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392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176</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( 106 )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br/>
              <w:t>( 106 )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( 46 )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( 44 )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( 16 )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( 9 )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( 1 )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1</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rPr>
          <w:rFonts w:eastAsia="Times New Roman"/>
          <w:color w:val="000000"/>
        </w:rPr>
      </w:pPr>
    </w:p>
    <w:tbl>
      <w:tblPr>
        <w:tblW w:w="5000" w:type="pct"/>
        <w:tblLook w:val="04A0"/>
      </w:tblPr>
      <w:tblGrid>
        <w:gridCol w:w="4130"/>
        <w:gridCol w:w="6195"/>
      </w:tblGrid>
      <w:tr w:rsidR="00A523C1" w:rsidTr="00A523C1">
        <w:tc>
          <w:tcPr>
            <w:tcW w:w="2000" w:type="pct"/>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Залишок коштiв складає 0.00 тис.грн.</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Маркуш М. В.</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Половко I.А</w:t>
            </w:r>
          </w:p>
        </w:tc>
      </w:tr>
    </w:tbl>
    <w:p w:rsidR="00A523C1" w:rsidRDefault="00A523C1" w:rsidP="00A523C1">
      <w:pPr>
        <w:rPr>
          <w:rFonts w:eastAsia="Times New Roman"/>
          <w:color w:val="000000"/>
        </w:rPr>
        <w:sectPr w:rsidR="00A523C1">
          <w:pgSz w:w="11907" w:h="16840"/>
          <w:pgMar w:top="1134" w:right="851" w:bottom="851" w:left="851" w:header="0" w:footer="0" w:gutter="0"/>
          <w:cols w:space="720"/>
        </w:sectPr>
      </w:pPr>
    </w:p>
    <w:tbl>
      <w:tblPr>
        <w:tblW w:w="5000" w:type="pct"/>
        <w:tblLook w:val="04A0"/>
      </w:tblPr>
      <w:tblGrid>
        <w:gridCol w:w="2065"/>
        <w:gridCol w:w="4646"/>
        <w:gridCol w:w="2065"/>
        <w:gridCol w:w="1549"/>
      </w:tblGrid>
      <w:tr w:rsidR="00A523C1" w:rsidTr="00A523C1">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КОДИ</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2016 | 01 | 01</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20430300</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bl>
    <w:p w:rsidR="00A523C1" w:rsidRDefault="00A523C1" w:rsidP="00A523C1">
      <w:pPr>
        <w:rPr>
          <w:rFonts w:eastAsia="Times New Roman"/>
          <w:color w:val="000000"/>
        </w:rPr>
      </w:pPr>
    </w:p>
    <w:p w:rsidR="00A523C1" w:rsidRDefault="00A523C1" w:rsidP="00A523C1">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2015 р.</w:t>
      </w:r>
    </w:p>
    <w:p w:rsidR="00A523C1" w:rsidRDefault="00A523C1" w:rsidP="00A523C1">
      <w:pPr>
        <w:rPr>
          <w:rFonts w:eastAsia="Times New Roman"/>
          <w:color w:val="000000"/>
        </w:rPr>
      </w:pPr>
    </w:p>
    <w:tbl>
      <w:tblPr>
        <w:tblW w:w="5000" w:type="pct"/>
        <w:tblLook w:val="04A0"/>
      </w:tblPr>
      <w:tblGrid>
        <w:gridCol w:w="3097"/>
        <w:gridCol w:w="1032"/>
        <w:gridCol w:w="1549"/>
        <w:gridCol w:w="1549"/>
        <w:gridCol w:w="1549"/>
        <w:gridCol w:w="1549"/>
      </w:tblGrid>
      <w:tr w:rsidR="00A523C1" w:rsidTr="00A523C1">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A523C1" w:rsidTr="00A523C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23C1" w:rsidRDefault="00A523C1">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видаток</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w:t>
            </w:r>
          </w:p>
        </w:tc>
      </w:tr>
      <w:tr w:rsidR="00A523C1" w:rsidTr="00A523C1">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xml:space="preserve">Збільшення (зменшення) </w:t>
            </w:r>
            <w:r>
              <w:rPr>
                <w:rFonts w:eastAsia="Times New Roman"/>
                <w:color w:val="000000"/>
                <w:sz w:val="20"/>
                <w:szCs w:val="20"/>
              </w:rPr>
              <w:lastRenderedPageBreak/>
              <w:t>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lastRenderedPageBreak/>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tcMar>
              <w:top w:w="15" w:type="dxa"/>
              <w:left w:w="15" w:type="dxa"/>
              <w:bottom w:w="15" w:type="dxa"/>
              <w:right w:w="15" w:type="dxa"/>
            </w:tcMar>
            <w:vAlign w:val="center"/>
            <w:hideMark/>
          </w:tcPr>
          <w:p w:rsidR="00A523C1" w:rsidRDefault="00A523C1">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lastRenderedPageBreak/>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lastRenderedPageBreak/>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( 0 )</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tcMar>
              <w:top w:w="15" w:type="dxa"/>
              <w:left w:w="15" w:type="dxa"/>
              <w:bottom w:w="15" w:type="dxa"/>
              <w:right w:w="15" w:type="dxa"/>
            </w:tcMar>
            <w:vAlign w:val="center"/>
            <w:hideMark/>
          </w:tcPr>
          <w:p w:rsidR="00A523C1" w:rsidRDefault="00A523C1">
            <w:pPr>
              <w:rPr>
                <w:rFonts w:asciiTheme="minorHAnsi" w:hAnsiTheme="minorHAnsi" w:cstheme="minorBidi"/>
                <w:sz w:val="22"/>
                <w:szCs w:val="22"/>
              </w:rPr>
            </w:pPr>
          </w:p>
        </w:tc>
        <w:tc>
          <w:tcPr>
            <w:tcW w:w="0" w:type="auto"/>
            <w:tcMar>
              <w:top w:w="15" w:type="dxa"/>
              <w:left w:w="15" w:type="dxa"/>
              <w:bottom w:w="15" w:type="dxa"/>
              <w:right w:w="15" w:type="dxa"/>
            </w:tcMar>
            <w:vAlign w:val="center"/>
            <w:hideMark/>
          </w:tcPr>
          <w:p w:rsidR="00A523C1" w:rsidRDefault="00A523C1">
            <w:pPr>
              <w:rPr>
                <w:rFonts w:asciiTheme="minorHAnsi" w:hAnsiTheme="minorHAnsi" w:cstheme="minorBidi"/>
                <w:sz w:val="22"/>
                <w:szCs w:val="22"/>
              </w:rPr>
            </w:pP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X</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bl>
    <w:p w:rsidR="00A523C1" w:rsidRDefault="00A523C1" w:rsidP="00A523C1">
      <w:pPr>
        <w:rPr>
          <w:rFonts w:eastAsia="Times New Roman"/>
          <w:color w:val="000000"/>
        </w:rPr>
      </w:pPr>
    </w:p>
    <w:tbl>
      <w:tblPr>
        <w:tblW w:w="5000" w:type="pct"/>
        <w:tblLook w:val="04A0"/>
      </w:tblPr>
      <w:tblGrid>
        <w:gridCol w:w="4130"/>
        <w:gridCol w:w="6195"/>
      </w:tblGrid>
      <w:tr w:rsidR="00A523C1" w:rsidTr="00A523C1">
        <w:tc>
          <w:tcPr>
            <w:tcW w:w="2000" w:type="pct"/>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д/н</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Маркуш М. В.</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Половко I.А</w:t>
            </w:r>
          </w:p>
        </w:tc>
      </w:tr>
    </w:tbl>
    <w:p w:rsidR="00A523C1" w:rsidRDefault="00A523C1" w:rsidP="00A523C1">
      <w:pPr>
        <w:rPr>
          <w:rFonts w:eastAsia="Times New Roman"/>
          <w:color w:val="000000"/>
        </w:rPr>
        <w:sectPr w:rsidR="00A523C1">
          <w:pgSz w:w="11907" w:h="16840"/>
          <w:pgMar w:top="1134" w:right="851" w:bottom="851" w:left="851" w:header="0" w:footer="0" w:gutter="0"/>
          <w:cols w:space="720"/>
        </w:sectPr>
      </w:pPr>
    </w:p>
    <w:tbl>
      <w:tblPr>
        <w:tblW w:w="5000" w:type="pct"/>
        <w:tblLook w:val="04A0"/>
      </w:tblPr>
      <w:tblGrid>
        <w:gridCol w:w="2995"/>
        <w:gridCol w:w="6739"/>
        <w:gridCol w:w="2995"/>
        <w:gridCol w:w="2246"/>
      </w:tblGrid>
      <w:tr w:rsidR="00A523C1" w:rsidTr="00A523C1">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225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1000" w:type="pct"/>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КОДИ</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2016 | 01 | 01</w:t>
            </w:r>
          </w:p>
        </w:tc>
      </w:tr>
      <w:tr w:rsidR="00A523C1" w:rsidTr="00A523C1">
        <w:tc>
          <w:tcPr>
            <w:tcW w:w="0" w:type="auto"/>
            <w:tcMar>
              <w:top w:w="60" w:type="dxa"/>
              <w:left w:w="60" w:type="dxa"/>
              <w:bottom w:w="60" w:type="dxa"/>
              <w:right w:w="60" w:type="dxa"/>
            </w:tcMar>
            <w:vAlign w:val="center"/>
            <w:hideMark/>
          </w:tcPr>
          <w:p w:rsidR="00A523C1" w:rsidRDefault="00A523C1">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 xml:space="preserve">Публiчне акцiонерне товариство "Райагротехсервiс" </w:t>
            </w:r>
          </w:p>
        </w:tc>
        <w:tc>
          <w:tcPr>
            <w:tcW w:w="0" w:type="auto"/>
            <w:tcMar>
              <w:top w:w="60" w:type="dxa"/>
              <w:left w:w="60" w:type="dxa"/>
              <w:bottom w:w="60" w:type="dxa"/>
              <w:right w:w="60" w:type="dxa"/>
            </w:tcMar>
            <w:vAlign w:val="center"/>
            <w:hideMark/>
          </w:tcPr>
          <w:p w:rsidR="00A523C1" w:rsidRDefault="00A523C1">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20430300</w:t>
            </w:r>
          </w:p>
        </w:tc>
      </w:tr>
      <w:tr w:rsidR="00A523C1" w:rsidTr="00A523C1">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(найменування)</w:t>
            </w: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c>
          <w:tcPr>
            <w:tcW w:w="0" w:type="auto"/>
            <w:tcMar>
              <w:top w:w="60" w:type="dxa"/>
              <w:left w:w="60" w:type="dxa"/>
              <w:bottom w:w="60" w:type="dxa"/>
              <w:right w:w="60" w:type="dxa"/>
            </w:tcMar>
            <w:vAlign w:val="center"/>
            <w:hideMark/>
          </w:tcPr>
          <w:p w:rsidR="00A523C1" w:rsidRDefault="00A523C1">
            <w:pPr>
              <w:rPr>
                <w:rFonts w:asciiTheme="minorHAnsi" w:hAnsiTheme="minorHAnsi" w:cstheme="minorBidi"/>
                <w:sz w:val="22"/>
                <w:szCs w:val="22"/>
              </w:rPr>
            </w:pPr>
          </w:p>
        </w:tc>
      </w:tr>
    </w:tbl>
    <w:p w:rsidR="00A523C1" w:rsidRDefault="00A523C1" w:rsidP="00A523C1">
      <w:pPr>
        <w:rPr>
          <w:rFonts w:eastAsia="Times New Roman"/>
          <w:color w:val="000000"/>
        </w:rPr>
      </w:pPr>
    </w:p>
    <w:p w:rsidR="00A523C1" w:rsidRDefault="00A523C1" w:rsidP="00A523C1">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2015 р.</w:t>
      </w:r>
    </w:p>
    <w:p w:rsidR="00A523C1" w:rsidRDefault="00A523C1" w:rsidP="00A523C1">
      <w:pPr>
        <w:rPr>
          <w:rFonts w:eastAsia="Times New Roman"/>
          <w:color w:val="000000"/>
        </w:rPr>
      </w:pPr>
    </w:p>
    <w:tbl>
      <w:tblPr>
        <w:tblW w:w="5000" w:type="pct"/>
        <w:tblLook w:val="04A0"/>
      </w:tblPr>
      <w:tblGrid>
        <w:gridCol w:w="1645"/>
        <w:gridCol w:w="1455"/>
        <w:gridCol w:w="1564"/>
        <w:gridCol w:w="1456"/>
        <w:gridCol w:w="1456"/>
        <w:gridCol w:w="1456"/>
        <w:gridCol w:w="1575"/>
        <w:gridCol w:w="1456"/>
        <w:gridCol w:w="1456"/>
        <w:gridCol w:w="1456"/>
      </w:tblGrid>
      <w:tr w:rsidR="00A523C1" w:rsidTr="00A523C1">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Всього</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709</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709</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xml:space="preserve">Сума чистого </w:t>
            </w:r>
            <w:r>
              <w:rPr>
                <w:rFonts w:eastAsia="Times New Roman"/>
                <w:color w:val="000000"/>
                <w:sz w:val="20"/>
                <w:szCs w:val="20"/>
              </w:rPr>
              <w:lastRenderedPageBreak/>
              <w:t>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lastRenderedPageBreak/>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lastRenderedPageBreak/>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color w:val="000000"/>
                <w:sz w:val="20"/>
                <w:szCs w:val="20"/>
              </w:rPr>
            </w:pPr>
            <w:r>
              <w:rPr>
                <w:rFonts w:eastAsia="Times New Roman"/>
                <w:color w:val="000000"/>
                <w:sz w:val="20"/>
                <w:szCs w:val="20"/>
              </w:rPr>
              <w:t xml:space="preserve">Придбання (продаж) неконтрольованої </w:t>
            </w:r>
            <w:r>
              <w:rPr>
                <w:rFonts w:eastAsia="Times New Roman"/>
                <w:color w:val="000000"/>
                <w:sz w:val="20"/>
                <w:szCs w:val="20"/>
              </w:rPr>
              <w:lastRenderedPageBreak/>
              <w:t>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color w:val="000000"/>
                <w:sz w:val="20"/>
                <w:szCs w:val="20"/>
              </w:rPr>
            </w:pPr>
            <w:r>
              <w:rPr>
                <w:rFonts w:eastAsia="Times New Roman"/>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r>
      <w:tr w:rsidR="00A523C1" w:rsidTr="00A523C1">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1053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-363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A523C1" w:rsidRDefault="00A523C1">
            <w:pPr>
              <w:jc w:val="center"/>
              <w:rPr>
                <w:rFonts w:eastAsia="Times New Roman"/>
                <w:b/>
                <w:bCs/>
                <w:color w:val="000000"/>
                <w:sz w:val="20"/>
                <w:szCs w:val="20"/>
              </w:rPr>
            </w:pPr>
            <w:r>
              <w:rPr>
                <w:rFonts w:eastAsia="Times New Roman"/>
                <w:b/>
                <w:bCs/>
                <w:color w:val="000000"/>
                <w:sz w:val="20"/>
                <w:szCs w:val="20"/>
              </w:rPr>
              <w:t>709</w:t>
            </w:r>
          </w:p>
        </w:tc>
      </w:tr>
    </w:tbl>
    <w:p w:rsidR="00A523C1" w:rsidRDefault="00A523C1" w:rsidP="00A523C1">
      <w:pPr>
        <w:rPr>
          <w:rFonts w:eastAsia="Times New Roman"/>
          <w:color w:val="000000"/>
        </w:rPr>
      </w:pPr>
    </w:p>
    <w:tbl>
      <w:tblPr>
        <w:tblW w:w="5000" w:type="pct"/>
        <w:tblLook w:val="04A0"/>
      </w:tblPr>
      <w:tblGrid>
        <w:gridCol w:w="5990"/>
        <w:gridCol w:w="8985"/>
      </w:tblGrid>
      <w:tr w:rsidR="00A523C1" w:rsidTr="00A523C1">
        <w:tc>
          <w:tcPr>
            <w:tcW w:w="2000" w:type="pct"/>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Примітки</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Вилучений та неоплачений капiтал у товариства вiдсутнiй.</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Керівник</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Маркуш М. В.</w:t>
            </w:r>
          </w:p>
        </w:tc>
      </w:tr>
      <w:tr w:rsidR="00A523C1" w:rsidTr="00A523C1">
        <w:tc>
          <w:tcPr>
            <w:tcW w:w="0" w:type="auto"/>
            <w:tcMar>
              <w:top w:w="60" w:type="dxa"/>
              <w:left w:w="60" w:type="dxa"/>
              <w:bottom w:w="60" w:type="dxa"/>
              <w:right w:w="60" w:type="dxa"/>
            </w:tcMar>
            <w:vAlign w:val="center"/>
            <w:hideMark/>
          </w:tcPr>
          <w:p w:rsidR="00A523C1" w:rsidRDefault="00A523C1">
            <w:pPr>
              <w:jc w:val="center"/>
              <w:rPr>
                <w:rFonts w:eastAsia="Times New Roman"/>
                <w:b/>
                <w:bCs/>
                <w:color w:val="000000"/>
              </w:rPr>
            </w:pPr>
            <w:r>
              <w:rPr>
                <w:rFonts w:eastAsia="Times New Roman"/>
                <w:b/>
                <w:bCs/>
                <w:color w:val="000000"/>
              </w:rPr>
              <w:t>Головний бухгалтер</w:t>
            </w:r>
          </w:p>
        </w:tc>
        <w:tc>
          <w:tcPr>
            <w:tcW w:w="0" w:type="auto"/>
            <w:tcMar>
              <w:top w:w="60" w:type="dxa"/>
              <w:left w:w="60" w:type="dxa"/>
              <w:bottom w:w="60" w:type="dxa"/>
              <w:right w:w="60" w:type="dxa"/>
            </w:tcMar>
            <w:vAlign w:val="center"/>
            <w:hideMark/>
          </w:tcPr>
          <w:p w:rsidR="00A523C1" w:rsidRDefault="00A523C1">
            <w:pPr>
              <w:jc w:val="center"/>
              <w:rPr>
                <w:rFonts w:eastAsia="Times New Roman"/>
                <w:color w:val="000000"/>
              </w:rPr>
            </w:pPr>
            <w:r>
              <w:rPr>
                <w:rFonts w:eastAsia="Times New Roman"/>
                <w:color w:val="000000"/>
              </w:rPr>
              <w:t>Половко I.А</w:t>
            </w:r>
          </w:p>
        </w:tc>
      </w:tr>
    </w:tbl>
    <w:p w:rsidR="00A523C1" w:rsidRDefault="00A523C1" w:rsidP="00A523C1">
      <w:pPr>
        <w:rPr>
          <w:rFonts w:eastAsia="Times New Roman"/>
          <w:color w:val="000000"/>
        </w:rPr>
        <w:sectPr w:rsidR="00A523C1">
          <w:pgSz w:w="16840" w:h="11907" w:orient="landscape"/>
          <w:pgMar w:top="1134" w:right="1134" w:bottom="851" w:left="851" w:header="0" w:footer="0" w:gutter="0"/>
          <w:cols w:space="720"/>
        </w:sectPr>
      </w:pPr>
    </w:p>
    <w:p w:rsidR="00A523C1" w:rsidRDefault="00A523C1" w:rsidP="00A523C1">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A523C1" w:rsidRDefault="00A523C1" w:rsidP="00A523C1">
      <w:pPr>
        <w:pStyle w:val="4"/>
        <w:rPr>
          <w:rFonts w:eastAsia="Times New Roman"/>
          <w:color w:val="000000"/>
        </w:rPr>
      </w:pPr>
      <w:r>
        <w:rPr>
          <w:rFonts w:eastAsia="Times New Roman"/>
          <w:color w:val="000000"/>
        </w:rPr>
        <w:t>Текст приміток</w:t>
      </w:r>
    </w:p>
    <w:p w:rsidR="00A523C1" w:rsidRDefault="00A523C1" w:rsidP="00A523C1">
      <w:pPr>
        <w:spacing w:after="240"/>
        <w:rPr>
          <w:rFonts w:eastAsia="Times New Roman"/>
          <w:color w:val="000000"/>
        </w:rPr>
      </w:pPr>
      <w:r>
        <w:rPr>
          <w:rFonts w:eastAsia="Times New Roman"/>
          <w:color w:val="000000"/>
        </w:rPr>
        <w:t>З В I Т</w:t>
      </w:r>
      <w:r>
        <w:rPr>
          <w:rFonts w:eastAsia="Times New Roman"/>
          <w:color w:val="000000"/>
        </w:rPr>
        <w:br/>
      </w:r>
      <w:r>
        <w:rPr>
          <w:rFonts w:eastAsia="Times New Roman"/>
          <w:color w:val="000000"/>
        </w:rPr>
        <w:br/>
        <w:t xml:space="preserve">ПРО ПЕРЕВIРКУ ФIНАНСОВОЇ ЗВIТНОСТI </w:t>
      </w:r>
      <w:r>
        <w:rPr>
          <w:rFonts w:eastAsia="Times New Roman"/>
          <w:color w:val="000000"/>
        </w:rPr>
        <w:br/>
      </w:r>
      <w:r>
        <w:rPr>
          <w:rFonts w:eastAsia="Times New Roman"/>
          <w:color w:val="000000"/>
        </w:rPr>
        <w:br/>
        <w:t xml:space="preserve">Публiчного акцiонерного товариства </w:t>
      </w:r>
      <w:r>
        <w:rPr>
          <w:rFonts w:eastAsia="Times New Roman"/>
          <w:color w:val="000000"/>
        </w:rPr>
        <w:br/>
        <w:t>«Райагротехсервiс»</w:t>
      </w:r>
      <w:r>
        <w:rPr>
          <w:rFonts w:eastAsia="Times New Roman"/>
          <w:color w:val="000000"/>
        </w:rPr>
        <w:br/>
      </w:r>
      <w:r>
        <w:rPr>
          <w:rFonts w:eastAsia="Times New Roman"/>
          <w:color w:val="000000"/>
        </w:rPr>
        <w:br/>
        <w:t>за перiод з 01.01.2014 р. по 31.12.2014 р.</w:t>
      </w:r>
      <w:r>
        <w:rPr>
          <w:rFonts w:eastAsia="Times New Roman"/>
          <w:color w:val="000000"/>
        </w:rPr>
        <w:br/>
      </w:r>
      <w:r>
        <w:rPr>
          <w:rFonts w:eastAsia="Times New Roman"/>
          <w:color w:val="000000"/>
        </w:rPr>
        <w:br/>
      </w:r>
      <w:r>
        <w:rPr>
          <w:rFonts w:eastAsia="Times New Roman"/>
          <w:color w:val="000000"/>
        </w:rPr>
        <w:br/>
        <w:t>Змiст</w:t>
      </w:r>
      <w:r>
        <w:rPr>
          <w:rFonts w:eastAsia="Times New Roman"/>
          <w:color w:val="000000"/>
        </w:rPr>
        <w:br/>
      </w:r>
      <w:r>
        <w:rPr>
          <w:rFonts w:eastAsia="Times New Roman"/>
          <w:color w:val="000000"/>
        </w:rPr>
        <w:br/>
      </w:r>
      <w:r>
        <w:rPr>
          <w:rFonts w:eastAsia="Times New Roman"/>
          <w:color w:val="000000"/>
        </w:rPr>
        <w:br/>
        <w:t xml:space="preserve">1 Iнформацiя про пiдприємство </w:t>
      </w:r>
      <w:r>
        <w:rPr>
          <w:rFonts w:eastAsia="Times New Roman"/>
          <w:color w:val="000000"/>
        </w:rPr>
        <w:br/>
        <w:t xml:space="preserve">2 Операцiйне середовище, ризики та економiчнi умови </w:t>
      </w:r>
      <w:r>
        <w:rPr>
          <w:rFonts w:eastAsia="Times New Roman"/>
          <w:color w:val="000000"/>
        </w:rPr>
        <w:br/>
        <w:t xml:space="preserve">Операцiйне середовище </w:t>
      </w:r>
      <w:r>
        <w:rPr>
          <w:rFonts w:eastAsia="Times New Roman"/>
          <w:color w:val="000000"/>
        </w:rPr>
        <w:br/>
        <w:t xml:space="preserve">Валютний ризик </w:t>
      </w:r>
      <w:r>
        <w:rPr>
          <w:rFonts w:eastAsia="Times New Roman"/>
          <w:color w:val="000000"/>
        </w:rPr>
        <w:br/>
        <w:t xml:space="preserve">Концентрацiя кредитного ризику </w:t>
      </w:r>
      <w:r>
        <w:rPr>
          <w:rFonts w:eastAsia="Times New Roman"/>
          <w:color w:val="000000"/>
        </w:rPr>
        <w:br/>
        <w:t xml:space="preserve">Стратегiя управлiння фiнансовим ризиком </w:t>
      </w:r>
      <w:r>
        <w:rPr>
          <w:rFonts w:eastAsia="Times New Roman"/>
          <w:color w:val="000000"/>
        </w:rPr>
        <w:br/>
        <w:t xml:space="preserve">Заява про вiдповiднiсть </w:t>
      </w:r>
      <w:r>
        <w:rPr>
          <w:rFonts w:eastAsia="Times New Roman"/>
          <w:color w:val="000000"/>
        </w:rPr>
        <w:br/>
        <w:t xml:space="preserve">3 Облiкова полiтика </w:t>
      </w:r>
      <w:r>
        <w:rPr>
          <w:rFonts w:eastAsia="Times New Roman"/>
          <w:color w:val="000000"/>
        </w:rPr>
        <w:br/>
        <w:t xml:space="preserve">Основа складання </w:t>
      </w:r>
      <w:r>
        <w:rPr>
          <w:rFonts w:eastAsia="Times New Roman"/>
          <w:color w:val="000000"/>
        </w:rPr>
        <w:br/>
        <w:t xml:space="preserve">Використання оцiнок </w:t>
      </w:r>
      <w:r>
        <w:rPr>
          <w:rFonts w:eastAsia="Times New Roman"/>
          <w:color w:val="000000"/>
        </w:rPr>
        <w:br/>
        <w:t xml:space="preserve">Операцiї в iноземнiй валютi </w:t>
      </w:r>
      <w:r>
        <w:rPr>
          <w:rFonts w:eastAsia="Times New Roman"/>
          <w:color w:val="000000"/>
        </w:rPr>
        <w:br/>
        <w:t xml:space="preserve">Нематерiальнi активи </w:t>
      </w:r>
      <w:r>
        <w:rPr>
          <w:rFonts w:eastAsia="Times New Roman"/>
          <w:color w:val="000000"/>
        </w:rPr>
        <w:br/>
        <w:t xml:space="preserve">Основнi засоби </w:t>
      </w:r>
      <w:r>
        <w:rPr>
          <w:rFonts w:eastAsia="Times New Roman"/>
          <w:color w:val="000000"/>
        </w:rPr>
        <w:br/>
        <w:t xml:space="preserve">Грошовi кошти </w:t>
      </w:r>
      <w:r>
        <w:rPr>
          <w:rFonts w:eastAsia="Times New Roman"/>
          <w:color w:val="000000"/>
        </w:rPr>
        <w:br/>
        <w:t xml:space="preserve">Дебiторська заборгованiсть </w:t>
      </w:r>
      <w:r>
        <w:rPr>
          <w:rFonts w:eastAsia="Times New Roman"/>
          <w:color w:val="000000"/>
        </w:rPr>
        <w:br/>
        <w:t xml:space="preserve">Запаси </w:t>
      </w:r>
      <w:r>
        <w:rPr>
          <w:rFonts w:eastAsia="Times New Roman"/>
          <w:color w:val="000000"/>
        </w:rPr>
        <w:br/>
        <w:t xml:space="preserve">Процентнi кредити та позики </w:t>
      </w:r>
      <w:r>
        <w:rPr>
          <w:rFonts w:eastAsia="Times New Roman"/>
          <w:color w:val="000000"/>
        </w:rPr>
        <w:br/>
        <w:t xml:space="preserve">Витрати на позики </w:t>
      </w:r>
      <w:r>
        <w:rPr>
          <w:rFonts w:eastAsia="Times New Roman"/>
          <w:color w:val="000000"/>
        </w:rPr>
        <w:br/>
        <w:t xml:space="preserve">Непередбаченi активи та непередбаченi зобов’язання </w:t>
      </w:r>
      <w:r>
        <w:rPr>
          <w:rFonts w:eastAsia="Times New Roman"/>
          <w:color w:val="000000"/>
        </w:rPr>
        <w:br/>
        <w:t xml:space="preserve">Визнання доходiв та витрат </w:t>
      </w:r>
      <w:r>
        <w:rPr>
          <w:rFonts w:eastAsia="Times New Roman"/>
          <w:color w:val="000000"/>
        </w:rPr>
        <w:br/>
        <w:t xml:space="preserve">Податок на прибуток </w:t>
      </w:r>
      <w:r>
        <w:rPr>
          <w:rFonts w:eastAsia="Times New Roman"/>
          <w:color w:val="000000"/>
        </w:rPr>
        <w:br/>
        <w:t xml:space="preserve">Внески до Державного пенсiйного фонду </w:t>
      </w:r>
      <w:r>
        <w:rPr>
          <w:rFonts w:eastAsia="Times New Roman"/>
          <w:color w:val="000000"/>
        </w:rPr>
        <w:br/>
        <w:t>4 Ведення бухгалтерського облiку</w:t>
      </w:r>
      <w:r>
        <w:rPr>
          <w:rFonts w:eastAsia="Times New Roman"/>
          <w:color w:val="000000"/>
        </w:rPr>
        <w:br/>
        <w:t>5 Фiнансова звiтнiсть</w:t>
      </w:r>
      <w:r>
        <w:rPr>
          <w:rFonts w:eastAsia="Times New Roman"/>
          <w:color w:val="000000"/>
        </w:rPr>
        <w:br/>
        <w:t>5.1 Роз’яснення до Балансу</w:t>
      </w:r>
      <w:r>
        <w:rPr>
          <w:rFonts w:eastAsia="Times New Roman"/>
          <w:color w:val="000000"/>
        </w:rPr>
        <w:br/>
        <w:t>A. Основнi засоби</w:t>
      </w:r>
      <w:r>
        <w:rPr>
          <w:rFonts w:eastAsia="Times New Roman"/>
          <w:color w:val="000000"/>
        </w:rPr>
        <w:br/>
        <w:t xml:space="preserve">В. Оборотнi активи </w:t>
      </w:r>
      <w:r>
        <w:rPr>
          <w:rFonts w:eastAsia="Times New Roman"/>
          <w:color w:val="000000"/>
        </w:rPr>
        <w:br/>
        <w:t>С. Власний капiтал</w:t>
      </w:r>
      <w:r>
        <w:rPr>
          <w:rFonts w:eastAsia="Times New Roman"/>
          <w:color w:val="000000"/>
        </w:rPr>
        <w:br/>
        <w:t>D. Заборгованiсть</w:t>
      </w:r>
      <w:r>
        <w:rPr>
          <w:rFonts w:eastAsia="Times New Roman"/>
          <w:color w:val="000000"/>
        </w:rPr>
        <w:br/>
        <w:t>5.2 Дiї, що виникли пiсля дати Балансу</w:t>
      </w:r>
      <w:r>
        <w:rPr>
          <w:rFonts w:eastAsia="Times New Roman"/>
          <w:color w:val="000000"/>
        </w:rPr>
        <w:br/>
      </w:r>
      <w:r>
        <w:rPr>
          <w:rFonts w:eastAsia="Times New Roman"/>
          <w:color w:val="000000"/>
        </w:rPr>
        <w:br/>
        <w:t xml:space="preserve">6 Операцiї з пов’язаними сторонами </w:t>
      </w:r>
      <w:r>
        <w:rPr>
          <w:rFonts w:eastAsia="Times New Roman"/>
          <w:color w:val="000000"/>
        </w:rPr>
        <w:br/>
        <w:t xml:space="preserve">7 Непередбаченi зобов’язання </w:t>
      </w:r>
      <w:r>
        <w:rPr>
          <w:rFonts w:eastAsia="Times New Roman"/>
          <w:color w:val="000000"/>
        </w:rPr>
        <w:br/>
      </w:r>
      <w:r>
        <w:rPr>
          <w:rFonts w:eastAsia="Times New Roman"/>
          <w:color w:val="000000"/>
        </w:rPr>
        <w:br/>
      </w:r>
      <w:r>
        <w:rPr>
          <w:rFonts w:eastAsia="Times New Roman"/>
          <w:color w:val="000000"/>
        </w:rPr>
        <w:lastRenderedPageBreak/>
        <w:t xml:space="preserve">8 Звiт щодо вимог iнших законодавчих i нормативних актiв </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1 Iнформацiя про Товариство</w:t>
      </w:r>
      <w:r>
        <w:rPr>
          <w:rFonts w:eastAsia="Times New Roman"/>
          <w:color w:val="000000"/>
        </w:rPr>
        <w:br/>
      </w:r>
      <w:r>
        <w:rPr>
          <w:rFonts w:eastAsia="Times New Roman"/>
          <w:color w:val="000000"/>
        </w:rPr>
        <w:br/>
        <w:t>Вiдомостi про Публiчне акцiонерне товариства «Райагротехсервiс».</w:t>
      </w:r>
      <w:r>
        <w:rPr>
          <w:rFonts w:eastAsia="Times New Roman"/>
          <w:color w:val="000000"/>
        </w:rPr>
        <w:br/>
        <w:t>1.1.Публiчне акцiонерне товариство «Райагротехсервiс».</w:t>
      </w:r>
      <w:r>
        <w:rPr>
          <w:rFonts w:eastAsia="Times New Roman"/>
          <w:color w:val="000000"/>
        </w:rPr>
        <w:br/>
        <w:t>1.2.Iдентифiкацiйний код ЄДРПОУ 20430300.</w:t>
      </w:r>
      <w:r>
        <w:rPr>
          <w:rFonts w:eastAsia="Times New Roman"/>
          <w:color w:val="000000"/>
        </w:rPr>
        <w:br/>
        <w:t>1.3.Юридична та фактична адреси: 90564, Закарпатська обл..Тячiвський р-н,</w:t>
      </w:r>
      <w:r>
        <w:rPr>
          <w:rFonts w:eastAsia="Times New Roman"/>
          <w:color w:val="000000"/>
        </w:rPr>
        <w:br/>
        <w:t>смт.Тересва, вул . В.Терещкової, 10А.</w:t>
      </w:r>
      <w:r>
        <w:rPr>
          <w:rFonts w:eastAsia="Times New Roman"/>
          <w:color w:val="000000"/>
        </w:rPr>
        <w:br/>
        <w:t>1.4. Виписка серiї ААВ № 217732 з єдиного державного реєстру юридичних осiб та фiзичних осiб-пiдприємцiв. Дата та номер запису в Єдиному державному реєстрi юридичних та фiзичних осiб –пiдприємцiв: 28.02.1995 р.. за № 1 319 120 0000 001975.</w:t>
      </w:r>
      <w:r>
        <w:rPr>
          <w:rFonts w:eastAsia="Times New Roman"/>
          <w:color w:val="000000"/>
        </w:rPr>
        <w:br/>
        <w:t xml:space="preserve">Розрахунковий рахунок: </w:t>
      </w:r>
      <w:r>
        <w:rPr>
          <w:rFonts w:eastAsia="Times New Roman"/>
          <w:color w:val="000000"/>
        </w:rPr>
        <w:br/>
        <w:t>№ 26007386335800, в АТ «УкрСиббанк» МФО 351005.</w:t>
      </w:r>
      <w:r>
        <w:rPr>
          <w:rFonts w:eastAsia="Times New Roman"/>
          <w:color w:val="000000"/>
        </w:rPr>
        <w:br/>
        <w:t>Форма власностi: приватна.</w:t>
      </w:r>
      <w:r>
        <w:rPr>
          <w:rFonts w:eastAsia="Times New Roman"/>
          <w:color w:val="000000"/>
        </w:rPr>
        <w:br/>
        <w:t>Органiзацiйно-правова форма –акцiонерне товариство.</w:t>
      </w:r>
      <w:r>
        <w:rPr>
          <w:rFonts w:eastAsia="Times New Roman"/>
          <w:color w:val="000000"/>
        </w:rPr>
        <w:br/>
        <w:t xml:space="preserve">1.5. Основнi види дiяльностi за КВЕД-2010: </w:t>
      </w:r>
      <w:r>
        <w:rPr>
          <w:rFonts w:eastAsia="Times New Roman"/>
          <w:color w:val="000000"/>
        </w:rPr>
        <w:br/>
        <w:t>- 68.20 Надання в оренду й експлуатацiю власного чи орендованого нерухомого майна ;</w:t>
      </w:r>
      <w:r>
        <w:rPr>
          <w:rFonts w:eastAsia="Times New Roman"/>
          <w:color w:val="000000"/>
        </w:rPr>
        <w:br/>
        <w:t>- 46.90 Неспецiалiзована оптова торгiвля;</w:t>
      </w:r>
      <w:r>
        <w:rPr>
          <w:rFonts w:eastAsia="Times New Roman"/>
          <w:color w:val="000000"/>
        </w:rPr>
        <w:br/>
        <w:t xml:space="preserve">- 49.41 Вантажний автомобiльний транспорт; </w:t>
      </w:r>
      <w:r>
        <w:rPr>
          <w:rFonts w:eastAsia="Times New Roman"/>
          <w:color w:val="000000"/>
        </w:rPr>
        <w:br/>
      </w:r>
      <w:r>
        <w:rPr>
          <w:rFonts w:eastAsia="Times New Roman"/>
          <w:color w:val="000000"/>
        </w:rPr>
        <w:br/>
        <w:t>Органами управлiння ПАТ є : загальнi збори, наглядова рада, правлiння та ревiзiйна комiсiя. Товариство не входить до будь-яких асоцiацiй, корпорацiй, концернiв та об'єднань.</w:t>
      </w:r>
      <w:r>
        <w:rPr>
          <w:rFonts w:eastAsia="Times New Roman"/>
          <w:color w:val="000000"/>
        </w:rPr>
        <w:br/>
        <w:t xml:space="preserve">Вiдповiдальнi особи: </w:t>
      </w:r>
      <w:r>
        <w:rPr>
          <w:rFonts w:eastAsia="Times New Roman"/>
          <w:color w:val="000000"/>
        </w:rPr>
        <w:br/>
        <w:t>Голова правлiння – Маркуш Михайло Васильович.</w:t>
      </w:r>
      <w:r>
        <w:rPr>
          <w:rFonts w:eastAsia="Times New Roman"/>
          <w:color w:val="000000"/>
        </w:rPr>
        <w:br/>
        <w:t>Головний бухгалтер- Половко Iрина Анатолїївна</w:t>
      </w:r>
      <w:r>
        <w:rPr>
          <w:rFonts w:eastAsia="Times New Roman"/>
          <w:color w:val="000000"/>
        </w:rPr>
        <w:br/>
      </w:r>
      <w:r>
        <w:rPr>
          <w:rFonts w:eastAsia="Times New Roman"/>
          <w:color w:val="000000"/>
        </w:rPr>
        <w:br/>
        <w:t>2 Операцiйне середовище, ризики та економiчнi умови</w:t>
      </w:r>
      <w:r>
        <w:rPr>
          <w:rFonts w:eastAsia="Times New Roman"/>
          <w:color w:val="000000"/>
        </w:rPr>
        <w:br/>
        <w:t xml:space="preserve">Операцiйне середовище </w:t>
      </w:r>
      <w:r>
        <w:rPr>
          <w:rFonts w:eastAsia="Times New Roman"/>
          <w:color w:val="000000"/>
        </w:rPr>
        <w:br/>
        <w:t xml:space="preserve">Українськiй економiцi все ще притаманнi ознаки ринку, що розвивається. Цi ознаки включають недостатньо розвинену дiлову iнфраструктуру та вiдсутнiсть нормативної бази, що регулює дiяльнiсть пiдприємств, обмежену конвертованiсть нацiональної валюти та водночас наявнiсть численних засобiв контролю валютних операцiй, низький рiвень лiквiдностi на ринках капiталу. Уряд вживає заходiв для вирiшення цих питань, однак до цього часу йому не вдалося запровадити реформи, необхiднi для створення банкiвської, правової та регуляторної систем, що iснують у країнах з бiльш розвиненою ринковою економiкою. Внаслiдок цього операцiям в Українi притаманнi ризики, яких не iснує в умовах бiльш розвинених ринкiв. </w:t>
      </w:r>
      <w:r>
        <w:rPr>
          <w:rFonts w:eastAsia="Times New Roman"/>
          <w:color w:val="000000"/>
        </w:rPr>
        <w:br/>
        <w:t>Крiм того, на операцiйне середовище та ризики значно вплинули змiни в податковому законодавствi, викликанi при прийняттi Податкового Кодексу.</w:t>
      </w:r>
      <w:r>
        <w:rPr>
          <w:rFonts w:eastAsia="Times New Roman"/>
          <w:color w:val="000000"/>
        </w:rPr>
        <w:br/>
        <w:t>Крiм того, притаманнi ризики в дiяльностi пiдприємств можливi внаслiдок змiни податкового законодавства, так з 01.04.2011р. прийнятий Податковий Кодекс України, який внiс значнi змiни в iснуючу систему оподаткування України.</w:t>
      </w:r>
      <w:r>
        <w:rPr>
          <w:rFonts w:eastAsia="Times New Roman"/>
          <w:color w:val="000000"/>
        </w:rPr>
        <w:br/>
        <w:t xml:space="preserve">Концентрацiя кредитного ризику </w:t>
      </w:r>
      <w:r>
        <w:rPr>
          <w:rFonts w:eastAsia="Times New Roman"/>
          <w:color w:val="000000"/>
        </w:rPr>
        <w:br/>
        <w:t xml:space="preserve">Фiнансовi iнструменти, що потенцiйно можуть призвести до концентрацiї кредитного ризику Пiдприємства, складаються, в основному, з дебiторської та кредиторської заборгованостi за торговими операцiями. Кредитний ризик, пов’язаний з дебiторською заборгованiстю за торговими операцiями, зменшується з огляду на обмежену базу мiсцевих клiєнтiв. Кредитний ризик, пов’язаний з кредиторською заборгованiстю за </w:t>
      </w:r>
      <w:r>
        <w:rPr>
          <w:rFonts w:eastAsia="Times New Roman"/>
          <w:color w:val="000000"/>
        </w:rPr>
        <w:lastRenderedPageBreak/>
        <w:t>торговими операцiями, збiльшується через отримання кредитiв.</w:t>
      </w:r>
      <w:r>
        <w:rPr>
          <w:rFonts w:eastAsia="Times New Roman"/>
          <w:color w:val="000000"/>
        </w:rPr>
        <w:br/>
        <w:t xml:space="preserve">Стратегiя управлiння фiнансовим ризиком </w:t>
      </w:r>
      <w:r>
        <w:rPr>
          <w:rFonts w:eastAsia="Times New Roman"/>
          <w:color w:val="000000"/>
        </w:rPr>
        <w:br/>
        <w:t>Пiдприємство може наражатись на фiнансовi ризики у зв’язку зi змiною цiн на певнi види послуг. Пiдприємство не очiкує на значне зниження цiн на послуги у передбачуваному майбутньому. Пiдприємство переглядає перспективи щодо цiн регулярно в ходi розгляду необхiдностi активного управлiння фiнансовим ризиком.</w:t>
      </w:r>
      <w:r>
        <w:rPr>
          <w:rFonts w:eastAsia="Times New Roman"/>
          <w:color w:val="000000"/>
        </w:rPr>
        <w:br/>
        <w:t xml:space="preserve">Заява про вiдповiднiсть </w:t>
      </w:r>
      <w:r>
        <w:rPr>
          <w:rFonts w:eastAsia="Times New Roman"/>
          <w:color w:val="000000"/>
        </w:rPr>
        <w:br/>
        <w:t xml:space="preserve">Фiнансова звiтнiсть Публiчного акцiонерного представлена в тисячах гривень. Операцiї Товариства вимiрюються в гривнях; таким чином, гривня є функцiональною валютою. Всi операцiї в валютах iнших, нiж гривня, розглядаються як операцiї в iноземнiй валютi. </w:t>
      </w:r>
      <w:r>
        <w:rPr>
          <w:rFonts w:eastAsia="Times New Roman"/>
          <w:color w:val="000000"/>
        </w:rPr>
        <w:br/>
        <w:t>3 Облiкова полiтика</w:t>
      </w:r>
      <w:r>
        <w:rPr>
          <w:rFonts w:eastAsia="Times New Roman"/>
          <w:color w:val="000000"/>
        </w:rPr>
        <w:br/>
        <w:t>Основнi допущення – принцип нарахування та безперервностi.</w:t>
      </w:r>
      <w:r>
        <w:rPr>
          <w:rFonts w:eastAsia="Times New Roman"/>
          <w:color w:val="000000"/>
        </w:rPr>
        <w:br/>
        <w:t>Основнi засоби вiдображаються за iсторичною або умовною вартiстю, за вирахуванням накопиченого зносу та накопичених збиткiв вiд знецiнення.Товариство не проводить дооцiнку вартостi основних засодiв. Iнвестицiйної нерухомостi в ПАТ «Райагротехсервiс» немає.</w:t>
      </w:r>
      <w:r>
        <w:rPr>
          <w:rFonts w:eastAsia="Times New Roman"/>
          <w:color w:val="000000"/>
        </w:rPr>
        <w:br/>
        <w:t>Амортизацiя основних засобiв нараховується з метою списання вартостi вiдповiдного активу протягом строку корисного використання i розраховується з використанням прямолiнiйного методу.</w:t>
      </w:r>
      <w:r>
        <w:rPr>
          <w:rFonts w:eastAsia="Times New Roman"/>
          <w:color w:val="000000"/>
        </w:rPr>
        <w:br/>
        <w:t>Встановлено наступнi термiни корисного використання для кожного виду активiв;</w:t>
      </w:r>
      <w:r>
        <w:rPr>
          <w:rFonts w:eastAsia="Times New Roman"/>
          <w:color w:val="000000"/>
        </w:rPr>
        <w:br/>
        <w:t>Будiвлi та споруди -50 рокiв;</w:t>
      </w:r>
      <w:r>
        <w:rPr>
          <w:rFonts w:eastAsia="Times New Roman"/>
          <w:color w:val="000000"/>
        </w:rPr>
        <w:br/>
        <w:t>Машини та механiзми -5-7 рокiв;</w:t>
      </w:r>
      <w:r>
        <w:rPr>
          <w:rFonts w:eastAsia="Times New Roman"/>
          <w:color w:val="000000"/>
        </w:rPr>
        <w:br/>
        <w:t>Транспортнi засоби -5-7 рокiв;</w:t>
      </w:r>
      <w:r>
        <w:rPr>
          <w:rFonts w:eastAsia="Times New Roman"/>
          <w:color w:val="000000"/>
        </w:rPr>
        <w:br/>
        <w:t>Вiдповiдно до МСБО 2, до запасiв вiдносяться активи, якi вiдповiдають наступним критерiям:</w:t>
      </w:r>
      <w:r>
        <w:rPr>
          <w:rFonts w:eastAsia="Times New Roman"/>
          <w:color w:val="000000"/>
        </w:rPr>
        <w:br/>
        <w:t>• перебувають у процесi виробництва продукцiї (послуг) iз метою продажу (готова продукцiя, напiвфабрикати, незавершене виробництво);</w:t>
      </w:r>
      <w:r>
        <w:rPr>
          <w:rFonts w:eastAsia="Times New Roman"/>
          <w:color w:val="000000"/>
        </w:rPr>
        <w:br/>
        <w:t>• утримуються для продажу за умов звичайної господарської дiяльностi (товари);</w:t>
      </w:r>
      <w:r>
        <w:rPr>
          <w:rFonts w:eastAsia="Times New Roman"/>
          <w:color w:val="000000"/>
        </w:rPr>
        <w:br/>
        <w:t>• принесуть в майбутньому економiчнi вигоди;</w:t>
      </w:r>
      <w:r>
        <w:rPr>
          <w:rFonts w:eastAsia="Times New Roman"/>
          <w:color w:val="000000"/>
        </w:rPr>
        <w:br/>
        <w:t>• будуть використанi для господарської дiяльностi протягом 1 року;</w:t>
      </w:r>
      <w:r>
        <w:rPr>
          <w:rFonts w:eastAsia="Times New Roman"/>
          <w:color w:val="000000"/>
        </w:rPr>
        <w:br/>
        <w:t xml:space="preserve">• можуть бути оцiненi; </w:t>
      </w:r>
      <w:r>
        <w:rPr>
          <w:rFonts w:eastAsia="Times New Roman"/>
          <w:color w:val="000000"/>
        </w:rPr>
        <w:br/>
        <w:t>Запаси вiдображаються за меншою з двох величин: первiсної вартостi та чистої вартостi реалiзацiї. Первiсна вартiсть запасiв включає витрати на сировину, прямi витрати на оплату працi та вiдповiднi накладнi витрати, понесенi до доведення запасiв до їхнього теперiшнього мiсця розташування та стану. При перемiщеннi запасiв з базових складiв в пiдроздiли та при продажу запасiв застосовувався метод iдентифiкованої вартостi оцiнки вiдповiдної одиницi запасiв. При передачi запасiв у виробництво їхня оцiнка здiйснюється з використанням методу середньозваженої вартостi. Чиста вартiсть реалiзацiї визначається виходячи з розрахункової цiни продажу, за вирахуванням всiх очiкуваних витрат на завершення виробництва та реалiзацiю.</w:t>
      </w:r>
      <w:r>
        <w:rPr>
          <w:rFonts w:eastAsia="Times New Roman"/>
          <w:color w:val="000000"/>
        </w:rPr>
        <w:br/>
        <w:t>Фiнансовi активи представленi кредитами та дебiторською заборгованiстю. Класифiкацiя залежить вiд характеру та цiлi фiнансових активiв i визначається на момент первiсного визнання.</w:t>
      </w:r>
      <w:r>
        <w:rPr>
          <w:rFonts w:eastAsia="Times New Roman"/>
          <w:color w:val="000000"/>
        </w:rPr>
        <w:br/>
        <w:t>Торгова та iнша дебiторська заборгованiсть з фiксованими платежами або платежами, якi можна визначити, яка не має котирування на активному ринку, класифiкується як кредити та дебiторська заборгованiсть. Кредити та дебiторська заборгованiсть оцiнюються за амортизованою вартiстю з використанням методу ефективної ставки вiдсотка, за вирахуванням збитку вiд знецiнення. Доходи з вiдсоткiв визнаються iз застосуванням методу ефективної ставки вiдсотка, за винятком короткострокової дебiторської заборгованостi, коли визнання вiдсоткiв не буде мати iстотного впливу. Короткострокова дебiторська заборгованiсть, на яку не нараховуються вiдсотки, вiдображається за номiнальною вартiстю.</w:t>
      </w:r>
      <w:r>
        <w:rPr>
          <w:rFonts w:eastAsia="Times New Roman"/>
          <w:color w:val="000000"/>
        </w:rPr>
        <w:br/>
      </w:r>
      <w:r>
        <w:rPr>
          <w:rFonts w:eastAsia="Times New Roman"/>
          <w:color w:val="000000"/>
        </w:rPr>
        <w:lastRenderedPageBreak/>
        <w:t>Вiдповiднi резерви на покриття збиткiв вiд сумнiвної заборгованостi визнаються у складi прибутку або збитку, коли iснують об’єктивнi свiдчення того, що актив знецiнився.</w:t>
      </w:r>
      <w:r>
        <w:rPr>
          <w:rFonts w:eastAsia="Times New Roman"/>
          <w:color w:val="000000"/>
        </w:rPr>
        <w:br/>
        <w:t xml:space="preserve">Нарахування резерву пiд сумнiвну заборгованiсть здiйснюється у розмiрi 5%, коли iснує вiрогiднiсть не отримання суми заборгованостi в повному обсязi до визначеної дати; та 100% у випадку, коли iснує вiрогiднiсть не отримання суми заборгованостi в повному обсязi. </w:t>
      </w:r>
      <w:r>
        <w:rPr>
          <w:rFonts w:eastAsia="Times New Roman"/>
          <w:color w:val="000000"/>
        </w:rPr>
        <w:br/>
        <w:t>Акцiонерний капiтал визнається за iсторичною вартiстю, скоригованою на вплив вiд застосування МСФЗ 29 «Фiнансова звiтнiсть в умовах гiперiнфляцiї» для внескiв, зроблених до 31 грудня 2000 року. Вплив вiд застосування МСФЗ 29 вiдображається в Балансi в складi додаткового капiталу.</w:t>
      </w:r>
      <w:r>
        <w:rPr>
          <w:rFonts w:eastAsia="Times New Roman"/>
          <w:color w:val="000000"/>
        </w:rPr>
        <w:br/>
        <w:t>Резерви визнаються, коли пiдприємство має поточне юридичне або конструктивне зобов’язання внаслiдок минулої подiї, i при цьому iснує ймовiрнiсть, що воно буде змушене погасити дане зобов’язання i можна зробити достовiрну оцiнку зобов’язання. I вiдповiдно МСБО 37 "Забезпечення, непередбаченi зобов'язання та непередбаченi активи" створенi непередбаченi зобов'язання вiдображаються у роздiлi II пасиву балансу"3абезпечення наступних витрат i платежiв" по статтi "Iншi забезпечення". До них вiдносять нарахованi у звiтному перiодi майбутнi витрати та платежi (податки, гарантiйнi зобов'язання, резервнi вiдрахування на сплату майбутнiх вiдпусток працiвникiв тощо), величина яких на дату складання балансу визначається шляхом попереднiх оцiнок, а також суми цiльового фiнансування, витрати за якими на дату балансу також є розрахунковими.</w:t>
      </w:r>
      <w:r>
        <w:rPr>
          <w:rFonts w:eastAsia="Times New Roman"/>
          <w:color w:val="000000"/>
        </w:rPr>
        <w:br/>
        <w:t>Умовнi зобов’язання не визнаються у фiнансовiй звiтностi. Вони розкриваються у примiтках до фiнансової звiтностi, окрiм випадкiв, коли ймовiрнiсть вiдтоку ресурсiв, якi втiлюють у собi економiчнi вигоди є незначною.</w:t>
      </w:r>
      <w:r>
        <w:rPr>
          <w:rFonts w:eastAsia="Times New Roman"/>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компенсацiйних програм, якi б потребували додаткових нарахувань. </w:t>
      </w:r>
      <w:r>
        <w:rPr>
          <w:rFonts w:eastAsia="Times New Roman"/>
          <w:color w:val="000000"/>
        </w:rPr>
        <w:br/>
        <w:t>Дохiд ПАТ – це валове надходження економiчних вигiд протягом перiоду, що виникає у ходi звичайної дiяльностi суб’єкта господарювання, коли власний капiтал зростає в результатi цього надходження, а не в результатi внескiв учасникiв власного капiталу (згiдно з МСБО 18).</w:t>
      </w:r>
      <w:r>
        <w:rPr>
          <w:rFonts w:eastAsia="Times New Roman"/>
          <w:color w:val="000000"/>
        </w:rPr>
        <w:br/>
        <w:t xml:space="preserve">Доходи вiд реалiзацiї оцiнюються за справедливою вартiстю компенсацiї, отриманої в оплату або очiкуваної до отримання. </w:t>
      </w:r>
      <w:r>
        <w:rPr>
          <w:rFonts w:eastAsia="Times New Roman"/>
          <w:color w:val="000000"/>
        </w:rPr>
        <w:br/>
        <w:t>Доходи вiд реалiзацiї визнаються за умови виконання всiх наведених нижче умов:</w:t>
      </w:r>
      <w:r>
        <w:rPr>
          <w:rFonts w:eastAsia="Times New Roman"/>
          <w:color w:val="000000"/>
        </w:rPr>
        <w:br/>
        <w:t>• Пiдприємство передало покупцю усi iстотнi ризики та вигоди.</w:t>
      </w:r>
      <w:r>
        <w:rPr>
          <w:rFonts w:eastAsia="Times New Roman"/>
          <w:color w:val="000000"/>
        </w:rPr>
        <w:br/>
        <w:t>• Пiдприємство бiльше не бере участi в управлiннi та не здiйснює контроль за реалiзованими товарами, готовою продукцiєю.</w:t>
      </w:r>
      <w:r>
        <w:rPr>
          <w:rFonts w:eastAsia="Times New Roman"/>
          <w:color w:val="000000"/>
        </w:rPr>
        <w:br/>
        <w:t>• Сума доходiв може бути достовiрно визначена.</w:t>
      </w:r>
      <w:r>
        <w:rPr>
          <w:rFonts w:eastAsia="Times New Roman"/>
          <w:color w:val="000000"/>
        </w:rPr>
        <w:br/>
        <w:t>• Iснує вiрогiднiсть, що економiчнi вигоди, пов’язанi з операцiєю, будуть отриманi пiдприємством.</w:t>
      </w:r>
      <w:r>
        <w:rPr>
          <w:rFonts w:eastAsia="Times New Roman"/>
          <w:color w:val="000000"/>
        </w:rPr>
        <w:br/>
        <w:t>• Понесенi витрати можуть бути достовiрно оцiненi.</w:t>
      </w:r>
      <w:r>
        <w:rPr>
          <w:rFonts w:eastAsia="Times New Roman"/>
          <w:color w:val="000000"/>
        </w:rPr>
        <w:br/>
        <w:t>При визначеннi доходу використовується метод нарахування. Витрати визнаються одночасно з визнанням доходу, для отримання якого вони були здiйсненi. В фiнансовiй звiтностi для вiдображення витрат використовується модель по функцiям затрат.</w:t>
      </w:r>
      <w:r>
        <w:rPr>
          <w:rFonts w:eastAsia="Times New Roman"/>
          <w:color w:val="000000"/>
        </w:rPr>
        <w:br/>
        <w:t xml:space="preserve">Згiдно МСФЗ 36 «Знецiнення активiв» облiк знецiнення активiв е базується на принципi обачностi, дотримання якого, зокрема, не допускає завищення їх (активiв) оцiнки. Пiд знецiненням мається на увазi зниження корисностi активiв, яке виражається у перевищеннi їх балансової вартостi над вiдшкодовуванню сумою (§8 IAS 36). Тестування активiв на знецiнення, ПАТ проводитиме на основi вже виявлених ознак знецiнення </w:t>
      </w:r>
      <w:r>
        <w:rPr>
          <w:rFonts w:eastAsia="Times New Roman"/>
          <w:color w:val="000000"/>
        </w:rPr>
        <w:lastRenderedPageBreak/>
        <w:t>окремих об’єктiв або генеруючих одиниць. Ознак знецiнення активiв (зовнiшнi):</w:t>
      </w:r>
      <w:r>
        <w:rPr>
          <w:rFonts w:eastAsia="Times New Roman"/>
          <w:color w:val="000000"/>
        </w:rPr>
        <w:br/>
        <w:t>• Значне зниження ринкової вартостi активу;</w:t>
      </w:r>
      <w:r>
        <w:rPr>
          <w:rFonts w:eastAsia="Times New Roman"/>
          <w:color w:val="000000"/>
        </w:rPr>
        <w:br/>
        <w:t>• Значнi змiни в технологiчному процесi;</w:t>
      </w:r>
      <w:r>
        <w:rPr>
          <w:rFonts w:eastAsia="Times New Roman"/>
          <w:color w:val="000000"/>
        </w:rPr>
        <w:br/>
        <w:t>• Значне зростання вiдсоткових ставок, якi впливають на рентабельнiсть активiв ПАТ;</w:t>
      </w:r>
      <w:r>
        <w:rPr>
          <w:rFonts w:eastAsia="Times New Roman"/>
          <w:color w:val="000000"/>
        </w:rPr>
        <w:br/>
        <w:t>• Чистi активи ПАТ значно перевищують його ринкову капiталiзацiю внутрiшню;</w:t>
      </w:r>
      <w:r>
        <w:rPr>
          <w:rFonts w:eastAsia="Times New Roman"/>
          <w:color w:val="000000"/>
        </w:rPr>
        <w:br/>
        <w:t>• Реструктуризацiя чи припинення деяких видiв дiяльностi;</w:t>
      </w:r>
      <w:r>
        <w:rPr>
          <w:rFonts w:eastAsia="Times New Roman"/>
          <w:color w:val="000000"/>
        </w:rPr>
        <w:br/>
        <w:t>• Значне зниження грошових надходжень, очiкуваних у процесi експлуатацiї активу.</w:t>
      </w:r>
      <w:r>
        <w:rPr>
          <w:rFonts w:eastAsia="Times New Roman"/>
          <w:color w:val="000000"/>
        </w:rPr>
        <w:br/>
        <w:t>• Моральний та фiзичний знос, що впливає на актив.</w:t>
      </w:r>
      <w:r>
        <w:rPr>
          <w:rFonts w:eastAsia="Times New Roman"/>
          <w:color w:val="000000"/>
        </w:rPr>
        <w:br/>
        <w:t>Ознак знецiнення для тестування активiв на знецiнення протягом року на Товариствi не було.</w:t>
      </w:r>
      <w:r>
        <w:rPr>
          <w:rFonts w:eastAsia="Times New Roman"/>
          <w:color w:val="000000"/>
        </w:rPr>
        <w:br/>
      </w:r>
      <w:r>
        <w:rPr>
          <w:rFonts w:eastAsia="Times New Roman"/>
          <w:color w:val="000000"/>
        </w:rPr>
        <w:br/>
        <w:t xml:space="preserve">Внески до Державного пенсiйного фонду </w:t>
      </w:r>
      <w:r>
        <w:rPr>
          <w:rFonts w:eastAsia="Times New Roman"/>
          <w:color w:val="000000"/>
        </w:rPr>
        <w:br/>
        <w:t xml:space="preserve">Пiдприємство не має нiяких iнших пенсiйних програм, крiм державної пенсiйної системи України, що вимагає вiд роботодавця здiйснення поточних внескiв, якi розраховуються як вiдсоткова частка вiд загальної суми заробiтної плати. Цi витрати в звiтi про прибутки та збитки вiдносяться до перiоду, в якому нараховується заробiтна плата. Крiм цього, на Пiдприємствi не iснує програм додаткових виплат при виходi на пенсiю та iнших компенсацiйних програм, якi б потребували додаткових нарахувань. </w:t>
      </w:r>
      <w:r>
        <w:rPr>
          <w:rFonts w:eastAsia="Times New Roman"/>
          <w:color w:val="000000"/>
        </w:rPr>
        <w:br/>
      </w:r>
      <w:r>
        <w:rPr>
          <w:rFonts w:eastAsia="Times New Roman"/>
          <w:color w:val="000000"/>
        </w:rPr>
        <w:br/>
        <w:t>4 Ведення бухгалтерського облiку</w:t>
      </w:r>
      <w:r>
        <w:rPr>
          <w:rFonts w:eastAsia="Times New Roman"/>
          <w:color w:val="000000"/>
        </w:rPr>
        <w:br/>
      </w:r>
      <w:r>
        <w:rPr>
          <w:rFonts w:eastAsia="Times New Roman"/>
          <w:color w:val="000000"/>
        </w:rPr>
        <w:br/>
        <w:t>Протягом 2014 року Компанiя дотримувалася наступних принципiв дiяльностi та складання фiнансової звiтностi: автономнiсть, безперервнiсть, перiодичнiсть, iсторичної собiвартостi, нарахування та вiдповiдностi доходiв i витрат, повного висвiтлення, послiдовностi, обачностi та єдиного грошового вимiрника.</w:t>
      </w:r>
      <w:r>
        <w:rPr>
          <w:rFonts w:eastAsia="Times New Roman"/>
          <w:color w:val="000000"/>
        </w:rPr>
        <w:br/>
        <w:t xml:space="preserve">Облiкова полiтика на 2014 рiк була затверджена наказом Генерального директора вiд 03.01.2014 р. № 2. </w:t>
      </w:r>
      <w:r>
        <w:rPr>
          <w:rFonts w:eastAsia="Times New Roman"/>
          <w:color w:val="000000"/>
        </w:rPr>
        <w:br/>
        <w:t>Протягом 2014 року змiни до облiкової полiтики не вносилися.</w:t>
      </w:r>
      <w:r>
        <w:rPr>
          <w:rFonts w:eastAsia="Times New Roman"/>
          <w:color w:val="000000"/>
        </w:rPr>
        <w:br/>
        <w:t xml:space="preserve">Компанiя веде бухгалтерський облiк у вiдповiдностi до чинного законодавства України: Закону України «Про бухгалтерський облiк та фiнансову звiтнiсть», облiкової полiтики та iнших внутрiшнiх нормативних документiв Компанiї. </w:t>
      </w:r>
      <w:r>
        <w:rPr>
          <w:rFonts w:eastAsia="Times New Roman"/>
          <w:color w:val="000000"/>
        </w:rPr>
        <w:br/>
        <w:t>Облiкова полiтика Компанiї – це сукупнiсть методiв, принципiв, засобiв органiзацiї бухгалтерського облiку, порядку вiдображення в облiку обставин, якi впливають на фiнансовий стан Компанiї. Облiкова полiтика базується на чинному законодавствi України, нормативних документах Державної комiсiї з цiнних паперiв та фондового ринку та рiшеннях керiвництва Компанiї.</w:t>
      </w:r>
      <w:r>
        <w:rPr>
          <w:rFonts w:eastAsia="Times New Roman"/>
          <w:color w:val="000000"/>
        </w:rPr>
        <w:br/>
        <w:t xml:space="preserve">Компанiя веде бухгалтерський облiк та складає фiнансову звiтнiсть у нацiональнiй грошовiй одиницi України – гривнях. </w:t>
      </w:r>
      <w:r>
        <w:rPr>
          <w:rFonts w:eastAsia="Times New Roman"/>
          <w:color w:val="000000"/>
        </w:rPr>
        <w:br/>
        <w:t>Господарськi операцiї здiйснюються на основi первинних документiв, на основi яких складають зведенi облiковi документи. Iнформацiя, що мiститься у прийнятих до облiку первинних документах, систематизується на рахунках бухгалтерського облiку в регiстрах синтетичного та аналiтичного облiку. Облiк ведеться в журнально - ордернiй формi з застосуванням бухгалтерської програми .</w:t>
      </w:r>
      <w:r>
        <w:rPr>
          <w:rFonts w:eastAsia="Times New Roman"/>
          <w:color w:val="000000"/>
        </w:rPr>
        <w:br/>
        <w:t>Iнвентаризацiя основних засобiв та запасiв проводилася за перiод, що пiдлягав перевiрцi.</w:t>
      </w:r>
      <w:r>
        <w:rPr>
          <w:rFonts w:eastAsia="Times New Roman"/>
          <w:color w:val="000000"/>
        </w:rPr>
        <w:br/>
        <w:t>Розкриття iнформацiї наведено в тис. грн.</w:t>
      </w:r>
      <w:r>
        <w:rPr>
          <w:rFonts w:eastAsia="Times New Roman"/>
          <w:color w:val="000000"/>
        </w:rPr>
        <w:br/>
      </w:r>
      <w:r>
        <w:rPr>
          <w:rFonts w:eastAsia="Times New Roman"/>
          <w:color w:val="000000"/>
        </w:rPr>
        <w:br/>
        <w:t>5 Фiнансова звiтнiсть</w:t>
      </w:r>
      <w:r>
        <w:rPr>
          <w:rFonts w:eastAsia="Times New Roman"/>
          <w:color w:val="000000"/>
        </w:rPr>
        <w:br/>
        <w:t>5.1 Роз’яснення до Балансу</w:t>
      </w:r>
      <w:r>
        <w:rPr>
          <w:rFonts w:eastAsia="Times New Roman"/>
          <w:color w:val="000000"/>
        </w:rPr>
        <w:br/>
        <w:t>А. Основнi засоби</w:t>
      </w:r>
      <w:r>
        <w:rPr>
          <w:rFonts w:eastAsia="Times New Roman"/>
          <w:color w:val="000000"/>
        </w:rPr>
        <w:br/>
        <w:t xml:space="preserve">Згiдно облiкової полiтики та вiдповiдно п.29 МСБО 16, Товариство обрало метод облiку основних засобiв: модель собiвартостi за п. 30 «Пiсля визнання активом, об'єкт основних засобiв облiковується за його собiвартiстю мiнус накопичена амортизацiя та будь-якi </w:t>
      </w:r>
      <w:r>
        <w:rPr>
          <w:rFonts w:eastAsia="Times New Roman"/>
          <w:color w:val="000000"/>
        </w:rPr>
        <w:lastRenderedPageBreak/>
        <w:t>накопиченi збитки вiд зменшення корисностi».</w:t>
      </w:r>
      <w:r>
        <w:rPr>
          <w:rFonts w:eastAsia="Times New Roman"/>
          <w:color w:val="000000"/>
        </w:rPr>
        <w:br/>
        <w:t>Первинна вартiсть основних засобiв, в балансi товариства станом на 31.12.2014 р., складає -1269 тис. грн. Знос станом на 31.12.2014 р. складає 642 тис. грн., залишкова вартiсть основних засобiв станом на 31.12.2014 р. становить 627.0 тис. грн..</w:t>
      </w:r>
      <w:r>
        <w:rPr>
          <w:rFonts w:eastAsia="Times New Roman"/>
          <w:color w:val="000000"/>
        </w:rPr>
        <w:br/>
        <w:t>При вiдображеннi у облiку руху основних засобiв порушень не визначено.</w:t>
      </w:r>
      <w:r>
        <w:rPr>
          <w:rFonts w:eastAsia="Times New Roman"/>
          <w:color w:val="000000"/>
        </w:rPr>
        <w:br/>
        <w:t>Оцiнка основних засобiв станом на 31.12.2014 р. вiдповiдно МСФЗ не переоцiнена та вiдображена в облiку по залишковiй вартостi. Амортизацiя нараховується прямолiнiйним методом. Термiн амортизацiї 6-50 рокiв в залежностi вiд технiчної характеристики основного засобу. Амортизацiя нараховується з мiсяця, що слiдує за мiсяцем вводу в експлуатацiю об’єкта основних засобiв. Надходження пiдтвердженнi первинними документами на придбання та оцiненi за вартiстю придбання.</w:t>
      </w:r>
      <w:r>
        <w:rPr>
          <w:rFonts w:eastAsia="Times New Roman"/>
          <w:color w:val="000000"/>
        </w:rPr>
        <w:br/>
        <w:t>Незавершене будiвництво</w:t>
      </w:r>
      <w:r>
        <w:rPr>
          <w:rFonts w:eastAsia="Times New Roman"/>
          <w:color w:val="000000"/>
        </w:rPr>
        <w:br/>
        <w:t>Незавершеного будiвництва станом на 31.12.2014 р. в балансi товариства станом не рахується.</w:t>
      </w:r>
      <w:r>
        <w:rPr>
          <w:rFonts w:eastAsia="Times New Roman"/>
          <w:color w:val="000000"/>
        </w:rPr>
        <w:br/>
      </w:r>
      <w:r>
        <w:rPr>
          <w:rFonts w:eastAsia="Times New Roman"/>
          <w:color w:val="000000"/>
        </w:rPr>
        <w:br/>
        <w:t>Нематерiальнi активи</w:t>
      </w:r>
      <w:r>
        <w:rPr>
          <w:rFonts w:eastAsia="Times New Roman"/>
          <w:color w:val="000000"/>
        </w:rPr>
        <w:br/>
        <w:t>Нематерiальних активiв в компанiї не рахується.</w:t>
      </w:r>
      <w:r>
        <w:rPr>
          <w:rFonts w:eastAsia="Times New Roman"/>
          <w:color w:val="000000"/>
        </w:rPr>
        <w:br/>
      </w:r>
      <w:r>
        <w:rPr>
          <w:rFonts w:eastAsia="Times New Roman"/>
          <w:color w:val="000000"/>
        </w:rPr>
        <w:br/>
        <w:t>Iнвестицiйна нерухомiсть</w:t>
      </w:r>
      <w:r>
        <w:rPr>
          <w:rFonts w:eastAsia="Times New Roman"/>
          <w:color w:val="000000"/>
        </w:rPr>
        <w:br/>
        <w:t>За критерiями визначеними МСФЗ та наказом про облiкову полiтику до iнвестицiйної нерухомостi вiднесено основних засобiв на суму 0.00 тис.грн..</w:t>
      </w:r>
      <w:r>
        <w:rPr>
          <w:rFonts w:eastAsia="Times New Roman"/>
          <w:color w:val="000000"/>
        </w:rPr>
        <w:br/>
        <w:t>Довгострокових бiологiчних активiв в активi балансу немає.</w:t>
      </w:r>
      <w:r>
        <w:rPr>
          <w:rFonts w:eastAsia="Times New Roman"/>
          <w:color w:val="000000"/>
        </w:rPr>
        <w:br/>
        <w:t xml:space="preserve">Довгостроковi фiнансовi iнвестицiї </w:t>
      </w:r>
      <w:r>
        <w:rPr>
          <w:rFonts w:eastAsia="Times New Roman"/>
          <w:color w:val="000000"/>
        </w:rPr>
        <w:br/>
        <w:t>Довгостроковi фiнансовi iнвестицiх станом на 31.12.2014 р. в балансi активу не рахуються.</w:t>
      </w:r>
      <w:r>
        <w:rPr>
          <w:rFonts w:eastAsia="Times New Roman"/>
          <w:color w:val="000000"/>
        </w:rPr>
        <w:br/>
        <w:t>В. Оборотнi активи</w:t>
      </w:r>
      <w:r>
        <w:rPr>
          <w:rFonts w:eastAsia="Times New Roman"/>
          <w:color w:val="000000"/>
        </w:rPr>
        <w:br/>
        <w:t xml:space="preserve">Виробничi запаси </w:t>
      </w:r>
      <w:r>
        <w:rPr>
          <w:rFonts w:eastAsia="Times New Roman"/>
          <w:color w:val="000000"/>
        </w:rPr>
        <w:br/>
        <w:t>Оцiнка товарно-матерiальних цiнностей вiдбувається, виходячи з первинних документiв, за цiнами та в кiлькостi зазначених в них та при трансформацiї звiтностi в вiдповiдностi з облiковою полiтикою Товариства i в частинi вимог п.9 та 10 МСБО 2. Порушень при веденнi облiку руху товарно-матерiальних цiнностей перевiркою не виявлено.</w:t>
      </w:r>
      <w:r>
        <w:rPr>
          <w:rFonts w:eastAsia="Times New Roman"/>
          <w:color w:val="000000"/>
        </w:rPr>
        <w:br/>
        <w:t xml:space="preserve">Протягом року на Товариствi для оцiнки вибуття запасiв використовували метод собiвартостi перших за часом надходження запасiв, який залишався незмiнним протягом перевiреного перiоду. Амортизацiя МБП нараховувалася в першому мiсяцi їх використання в розмiрi 100% їх вартостi. До складу малоцiнних необоротних активiв включалися активи вартiстю до 2500 грн. </w:t>
      </w:r>
      <w:r>
        <w:rPr>
          <w:rFonts w:eastAsia="Times New Roman"/>
          <w:color w:val="000000"/>
        </w:rPr>
        <w:br/>
        <w:t>Iнвентаризацiя запасiв проводилася.</w:t>
      </w:r>
      <w:r>
        <w:rPr>
          <w:rFonts w:eastAsia="Times New Roman"/>
          <w:color w:val="000000"/>
        </w:rPr>
        <w:br/>
        <w:t>Облiк товарно-матерiальних цiнностей вiвся на активному балансовому рахунку 20</w:t>
      </w:r>
      <w:r>
        <w:rPr>
          <w:rFonts w:eastAsia="Times New Roman"/>
          <w:color w:val="000000"/>
        </w:rPr>
        <w:br/>
        <w:t xml:space="preserve">«Виробничi запаси». </w:t>
      </w:r>
      <w:r>
        <w:rPr>
          <w:rFonts w:eastAsia="Times New Roman"/>
          <w:color w:val="000000"/>
        </w:rPr>
        <w:br/>
        <w:t xml:space="preserve">Станом на 31.12.2014 р. запасiв в активi балансу складають 49 тис.грн. </w:t>
      </w:r>
      <w:r>
        <w:rPr>
          <w:rFonts w:eastAsia="Times New Roman"/>
          <w:color w:val="000000"/>
        </w:rPr>
        <w:br/>
      </w:r>
      <w:r>
        <w:rPr>
          <w:rFonts w:eastAsia="Times New Roman"/>
          <w:color w:val="000000"/>
        </w:rPr>
        <w:br/>
        <w:t xml:space="preserve">Дебiторська заборгованiсть </w:t>
      </w:r>
      <w:r>
        <w:rPr>
          <w:rFonts w:eastAsia="Times New Roman"/>
          <w:color w:val="000000"/>
        </w:rPr>
        <w:br/>
        <w:t xml:space="preserve">Визнання, класифiкацiю та розкриття iнформацiї щодо дебiторської заборгованостi компанiя здiйснює вiдповiдно до МСФЗ 7 "Фiнансовi iнструменти: розкриття", МСБО 1 "Подання фiнансових звiтiв" та МСБО 39 "Фiнансовi iнструменти: визнання та оцiнка". </w:t>
      </w:r>
      <w:r>
        <w:rPr>
          <w:rFonts w:eastAsia="Times New Roman"/>
          <w:color w:val="000000"/>
        </w:rPr>
        <w:br/>
        <w:t>Дебiторська заборгованiсть за товари, роботи та послуги станом на 31.12.2014 р. складає 26 тис. грн. Розрахунок резерву сумнiвних боргiв Товариство не нараховувало.</w:t>
      </w:r>
      <w:r>
        <w:rPr>
          <w:rFonts w:eastAsia="Times New Roman"/>
          <w:color w:val="000000"/>
        </w:rPr>
        <w:br/>
        <w:t xml:space="preserve">Дебiторська заборгованiсть за виданими авансами – 0.00 тис. грн. </w:t>
      </w:r>
      <w:r>
        <w:rPr>
          <w:rFonts w:eastAsia="Times New Roman"/>
          <w:color w:val="000000"/>
        </w:rPr>
        <w:br/>
        <w:t>Iнша дебiторська заборгованiсть складає -24.0 тис.грн.</w:t>
      </w:r>
      <w:r>
        <w:rPr>
          <w:rFonts w:eastAsia="Times New Roman"/>
          <w:color w:val="000000"/>
        </w:rPr>
        <w:br/>
        <w:t xml:space="preserve">Iнформацiї про iншу дебiторську заборгованiсть для перевiрки не надавалась, для аудиторського висновку, в зв’язку з iї вiдсутнiстю. </w:t>
      </w:r>
      <w:r>
        <w:rPr>
          <w:rFonts w:eastAsia="Times New Roman"/>
          <w:color w:val="000000"/>
        </w:rPr>
        <w:br/>
        <w:t xml:space="preserve">Пiдтвердження дебiторської заборгованостi вiд стороннiх органiзацiй надано для перевiрки в повному обсязi. </w:t>
      </w:r>
      <w:r>
        <w:rPr>
          <w:rFonts w:eastAsia="Times New Roman"/>
          <w:color w:val="000000"/>
        </w:rPr>
        <w:br/>
      </w:r>
      <w:r>
        <w:rPr>
          <w:rFonts w:eastAsia="Times New Roman"/>
          <w:color w:val="000000"/>
        </w:rPr>
        <w:lastRenderedPageBreak/>
        <w:t>Iнвентаризацiя заборгованостей Товариства за 2014 рiк не проводилась в повнiй мiрi. На момент проведення iнвентаризацiї в Товариствi аудитор присутнiй не був, так як дата проведення iнвентаризацiї передувала датi проведення аудиторської перевiрки. В зв’язку з цим, наш аудиторський висновок буде модифiковано вiдповiдним чином.</w:t>
      </w:r>
      <w:r>
        <w:rPr>
          <w:rFonts w:eastAsia="Times New Roman"/>
          <w:color w:val="000000"/>
        </w:rPr>
        <w:br/>
        <w:t xml:space="preserve">Грошовi кошти </w:t>
      </w:r>
      <w:r>
        <w:rPr>
          <w:rFonts w:eastAsia="Times New Roman"/>
          <w:color w:val="000000"/>
        </w:rPr>
        <w:br/>
        <w:t>Облiк касових операцiй ведеться згiдно з «Положенням про ведення касових операцiй у нацiональнiй валютi в Українi», затвердженого постановою НБУ № 72 вiд 19.02.2001р.</w:t>
      </w:r>
      <w:r>
        <w:rPr>
          <w:rFonts w:eastAsia="Times New Roman"/>
          <w:color w:val="000000"/>
        </w:rPr>
        <w:br/>
        <w:t>Безготiвковi розрахунки здiйснюються Товариством з дотриманням вимог дiючого законодавства. У наявностi маються виписки банку з додатками до них, пiдiбранi в хронологiчному порядку.</w:t>
      </w:r>
      <w:r>
        <w:rPr>
          <w:rFonts w:eastAsia="Times New Roman"/>
          <w:color w:val="000000"/>
        </w:rPr>
        <w:br/>
        <w:t>Станом на 31.12.2014 року залишок грошових коштiв в нацiональнiй валютi становить 0.00 тис. грн.</w:t>
      </w:r>
      <w:r>
        <w:rPr>
          <w:rFonts w:eastAsia="Times New Roman"/>
          <w:color w:val="000000"/>
        </w:rPr>
        <w:br/>
        <w:t>Витрати майбутнiх перiодiв 0.00 тис.грн.</w:t>
      </w:r>
      <w:r>
        <w:rPr>
          <w:rFonts w:eastAsia="Times New Roman"/>
          <w:color w:val="000000"/>
        </w:rPr>
        <w:br/>
        <w:t>Iнвентаризацiя витрат не проводилась та не була представлена для аудиту. В зв’язку з цим, наш аудиторський висновок буде модифiковано вiдповiдним чином.</w:t>
      </w:r>
      <w:r>
        <w:rPr>
          <w:rFonts w:eastAsia="Times New Roman"/>
          <w:color w:val="000000"/>
        </w:rPr>
        <w:br/>
        <w:t>С. Власний капiтал</w:t>
      </w:r>
      <w:r>
        <w:rPr>
          <w:rFonts w:eastAsia="Times New Roman"/>
          <w:color w:val="000000"/>
        </w:rPr>
        <w:br/>
        <w:t>Публiчне Акцiонерне Товариство «РАЙАГРОТЕХСЕРВIС» засноване вiдповiдно до рiшення фонду державного майна України (Наказ 3/705 вiд 29.03.1996р. ) шляхом перетворення пiдприємства «Тячiвський райагротехсервiс» у вiдкрите акцiонерне товариство та Порядком перетворення у процесi приватизацiї державних пiдприємств у вiдкритi акцiонернi товариства, затвердженим Постановою Кабiнету Мiнiстрiв України вiд 7 грудня 1995 р.№ 686. У вiдповiдностi до норм Закону «Про акцiонернi товариства» у груднi 2011 року Товариство здiйснило перереєстрацiю та змiнило назву на публiчне акцiонерне товариство.</w:t>
      </w:r>
      <w:r>
        <w:rPr>
          <w:rFonts w:eastAsia="Times New Roman"/>
          <w:color w:val="000000"/>
        </w:rPr>
        <w:br/>
      </w:r>
      <w:r>
        <w:rPr>
          <w:rFonts w:eastAsia="Times New Roman"/>
          <w:color w:val="000000"/>
        </w:rPr>
        <w:br/>
        <w:t xml:space="preserve">На пiдставi акту оцiнки вартостi цiлiсного майнового комплексу був сформований Статутний фонд Товариства в сумi 19110 грн., який було подiлено на 76440 простих iменних акцiй, номiнальною вартiстю 0,25 грн. кожна. </w:t>
      </w:r>
      <w:r>
        <w:rPr>
          <w:rFonts w:eastAsia="Times New Roman"/>
          <w:color w:val="000000"/>
        </w:rPr>
        <w:br/>
        <w:t>Свiдоцтво про реєстрацiю випуску цiнних паперiв № 31/07/1/10 вiд 25 сiчня 2012 р. Випуск акцiй було зареєстровано Закарпатським територiальним управлiнням ДКЦПФР у Закарпатськiй областi вiд 30 вересня р. року, свiдоцтво про реєстрацiю випуску акцiй № 31/07/1/10 вiд 30.09.2010р.</w:t>
      </w:r>
      <w:r>
        <w:rPr>
          <w:rFonts w:eastAsia="Times New Roman"/>
          <w:color w:val="000000"/>
        </w:rPr>
        <w:br/>
        <w:t xml:space="preserve">Склад акцiонерiв у статутному фондi Товариства станом на 31 грудня 2014р., грн.. </w:t>
      </w:r>
      <w:r>
        <w:rPr>
          <w:rFonts w:eastAsia="Times New Roman"/>
          <w:color w:val="000000"/>
        </w:rPr>
        <w:br/>
        <w:t>Найменування юридичної особи, ПIП фiзичної особи Кiлькiсть простих iменних акцiй (штук) Вiд загальної кiлькостi акцiй (у вiдсотках)</w:t>
      </w:r>
      <w:r>
        <w:rPr>
          <w:rFonts w:eastAsia="Times New Roman"/>
          <w:color w:val="000000"/>
        </w:rPr>
        <w:br/>
        <w:t>Маркуш Михайло Васильович</w:t>
      </w:r>
      <w:r>
        <w:rPr>
          <w:rFonts w:eastAsia="Times New Roman"/>
          <w:color w:val="000000"/>
        </w:rPr>
        <w:br/>
        <w:t>90564, Закарпатська обл.. Тячiвський р-н, смт.Тересва, вул..Космонавтiв,17</w:t>
      </w:r>
      <w:r>
        <w:rPr>
          <w:rFonts w:eastAsia="Times New Roman"/>
          <w:color w:val="000000"/>
        </w:rPr>
        <w:br/>
        <w:t>IПН 1954812915 17693 23.1463</w:t>
      </w:r>
      <w:r>
        <w:rPr>
          <w:rFonts w:eastAsia="Times New Roman"/>
          <w:color w:val="000000"/>
        </w:rPr>
        <w:br/>
        <w:t>Маркуш Василина Миколаївна</w:t>
      </w:r>
      <w:r>
        <w:rPr>
          <w:rFonts w:eastAsia="Times New Roman"/>
          <w:color w:val="000000"/>
        </w:rPr>
        <w:br/>
        <w:t>90564, Закарпатська обл.. Тячiвський р-н, смт.Тересва, вул..Космонавтiв,17</w:t>
      </w:r>
      <w:r>
        <w:rPr>
          <w:rFonts w:eastAsia="Times New Roman"/>
          <w:color w:val="000000"/>
        </w:rPr>
        <w:br/>
        <w:t>IПН 2009204368 13825 18.0861</w:t>
      </w:r>
      <w:r>
        <w:rPr>
          <w:rFonts w:eastAsia="Times New Roman"/>
          <w:color w:val="000000"/>
        </w:rPr>
        <w:br/>
        <w:t xml:space="preserve">Малько Марина Михайлiвна </w:t>
      </w:r>
      <w:r>
        <w:rPr>
          <w:rFonts w:eastAsia="Times New Roman"/>
          <w:color w:val="000000"/>
        </w:rPr>
        <w:br/>
        <w:t>90564, Закарпатська обл.. Тячiвський р-н, смт.Тересва, вул..Космонавтiв,18</w:t>
      </w:r>
      <w:r>
        <w:rPr>
          <w:rFonts w:eastAsia="Times New Roman"/>
          <w:color w:val="000000"/>
        </w:rPr>
        <w:br/>
        <w:t>IПН 2819201281 12111 15.8438</w:t>
      </w:r>
      <w:r>
        <w:rPr>
          <w:rFonts w:eastAsia="Times New Roman"/>
          <w:color w:val="000000"/>
        </w:rPr>
        <w:br/>
        <w:t>Маркуш Михайло Михайлович</w:t>
      </w:r>
      <w:r>
        <w:rPr>
          <w:rFonts w:eastAsia="Times New Roman"/>
          <w:color w:val="000000"/>
        </w:rPr>
        <w:br/>
        <w:t>90564, Закарпатська обл.. Тячiвський р-н, смт.Тересва, вул..Космонавтiв,17</w:t>
      </w:r>
      <w:r>
        <w:rPr>
          <w:rFonts w:eastAsia="Times New Roman"/>
          <w:color w:val="000000"/>
        </w:rPr>
        <w:br/>
        <w:t>IПН 2943516739 8107 10.6057</w:t>
      </w:r>
      <w:r>
        <w:rPr>
          <w:rFonts w:eastAsia="Times New Roman"/>
          <w:color w:val="000000"/>
        </w:rPr>
        <w:br/>
        <w:t>Фiзичнi особи , частка менше 10% 24704 32.3181</w:t>
      </w:r>
      <w:r>
        <w:rPr>
          <w:rFonts w:eastAsia="Times New Roman"/>
          <w:color w:val="000000"/>
        </w:rPr>
        <w:br/>
        <w:t>Р а з о м 76440 100</w:t>
      </w:r>
      <w:r>
        <w:rPr>
          <w:rFonts w:eastAsia="Times New Roman"/>
          <w:color w:val="000000"/>
        </w:rPr>
        <w:br/>
      </w:r>
      <w:r>
        <w:rPr>
          <w:rFonts w:eastAsia="Times New Roman"/>
          <w:color w:val="000000"/>
        </w:rPr>
        <w:br/>
        <w:t xml:space="preserve">Частка держави в Статутному фондi ПАТ вiдсутня. Порядок формування Статутного фонду здiйснювався згiдно Закону України «Про господарськi товариства» вiд 19.09.1991 </w:t>
      </w:r>
      <w:r>
        <w:rPr>
          <w:rFonts w:eastAsia="Times New Roman"/>
          <w:color w:val="000000"/>
        </w:rPr>
        <w:lastRenderedPageBreak/>
        <w:t xml:space="preserve">р. за № 1577-12-ВР з наступними змiнами та доповненнями. Проведений аудит дає нам право пiдтвердити формування величини Статутного капiталу у розмiрi 19110 грн. </w:t>
      </w:r>
      <w:r>
        <w:rPr>
          <w:rFonts w:eastAsia="Times New Roman"/>
          <w:color w:val="000000"/>
        </w:rPr>
        <w:br/>
      </w:r>
      <w:r>
        <w:rPr>
          <w:rFonts w:eastAsia="Times New Roman"/>
          <w:color w:val="000000"/>
        </w:rPr>
        <w:br/>
        <w:t>У вiдповiдностi з вимогами Закону України «Про аудиторську дiяльнiсть», «Про цiннi папери i фондовий ринок», Статуту ПАТ , ми провели аудит достовiрностi бухгалтерського облiку наявностi та руху власного капiталу Товариства шляхом перевiрки як засновницьких документiв, так i даних первинного, аналiтичного i синтетичного облiку в розрiзi його фактичної структури:</w:t>
      </w:r>
      <w:r>
        <w:rPr>
          <w:rFonts w:eastAsia="Times New Roman"/>
          <w:color w:val="000000"/>
        </w:rPr>
        <w:br/>
        <w:t>- статутного капiталу в розмiрi 19.0 тис. грн.;</w:t>
      </w:r>
      <w:r>
        <w:rPr>
          <w:rFonts w:eastAsia="Times New Roman"/>
          <w:color w:val="000000"/>
        </w:rPr>
        <w:br/>
        <w:t>- Iнший додатковий капiтал – 1053.0 тис. грн.</w:t>
      </w:r>
      <w:r>
        <w:rPr>
          <w:rFonts w:eastAsia="Times New Roman"/>
          <w:color w:val="000000"/>
        </w:rPr>
        <w:br/>
        <w:t>- Нерозподiлений збиток в розмiрi – 363 тис. грн.</w:t>
      </w:r>
      <w:r>
        <w:rPr>
          <w:rFonts w:eastAsia="Times New Roman"/>
          <w:color w:val="000000"/>
        </w:rPr>
        <w:br/>
        <w:t>Акцiї оцiненi по засновницькiй вартостi. Торгiвля акцiями Товариства на внутрiшнiх та зовнiшнiх ринках цiнних паперiв не здiйснюється, акцiї не включенi до лiстингу жодної фондової бiржi. Частка держави в Статутному капiталi ПАТ вiдсутня. Порядок формування Статутного капiталу здiйснювався згiдно Закону України «Про господарськi товариства» вiд 19.09.1991 р. за № 1577-12-ВР з наступними змiнами та доповненнями. Проведений аудит дає нам право пiдтвердити правильнiсть визначення та достовiрнiсть формування величини Статутного капiталу у розмiрi 19110 грн., його повну сплату та вiдповiднiсть установчим документам.</w:t>
      </w:r>
      <w:r>
        <w:rPr>
          <w:rFonts w:eastAsia="Times New Roman"/>
          <w:color w:val="000000"/>
        </w:rPr>
        <w:br/>
        <w:t>Довгостроковi зобов’язання.</w:t>
      </w:r>
      <w:r>
        <w:rPr>
          <w:rFonts w:eastAsia="Times New Roman"/>
          <w:color w:val="000000"/>
        </w:rPr>
        <w:br/>
        <w:t>Довгостроковi зобов’язання в валютi балансу станом на 31.12.2014 р. не рахуються.</w:t>
      </w:r>
      <w:r>
        <w:rPr>
          <w:rFonts w:eastAsia="Times New Roman"/>
          <w:color w:val="000000"/>
        </w:rPr>
        <w:br/>
      </w:r>
      <w:r>
        <w:rPr>
          <w:rFonts w:eastAsia="Times New Roman"/>
          <w:color w:val="000000"/>
        </w:rPr>
        <w:br/>
        <w:t>D. Заборгованiсть</w:t>
      </w:r>
      <w:r>
        <w:rPr>
          <w:rFonts w:eastAsia="Times New Roman"/>
          <w:color w:val="000000"/>
        </w:rPr>
        <w:br/>
        <w:t>Довгостроковi кредити банкiв в пасивi балансу вiдсутнi..</w:t>
      </w:r>
      <w:r>
        <w:rPr>
          <w:rFonts w:eastAsia="Times New Roman"/>
          <w:color w:val="000000"/>
        </w:rPr>
        <w:br/>
        <w:t>Поточна кредиторська заборгованiсть станом на 31.12.2014 р. складає 17.0 тис. грн., в тому числi: кредиторська заборгованiсть за товари, роботи, послуги 13 тис. грн., кредиторська заборгованiсть перед бюджетом 0.00 тис. грн., поточна заборгованiсть з оплати працi 3.0 тис. грн.</w:t>
      </w:r>
      <w:r>
        <w:rPr>
          <w:rFonts w:eastAsia="Times New Roman"/>
          <w:color w:val="000000"/>
        </w:rPr>
        <w:br/>
        <w:t>За розрахунками зi страхування -1.0 тис.грн.</w:t>
      </w:r>
      <w:r>
        <w:rPr>
          <w:rFonts w:eastAsia="Times New Roman"/>
          <w:color w:val="000000"/>
        </w:rPr>
        <w:br/>
        <w:t>Поточнi забезпечення 0.00 тис. грн.</w:t>
      </w:r>
      <w:r>
        <w:rPr>
          <w:rFonts w:eastAsia="Times New Roman"/>
          <w:color w:val="000000"/>
        </w:rPr>
        <w:br/>
        <w:t>Iншi поточнi зобов'язання 162 тис.грн.</w:t>
      </w:r>
      <w:r>
        <w:rPr>
          <w:rFonts w:eastAsia="Times New Roman"/>
          <w:color w:val="000000"/>
        </w:rPr>
        <w:br/>
        <w:t xml:space="preserve">Облiк розрахункiв з пiдзвiтними особами ведеться згiдно первинних документiв. </w:t>
      </w:r>
      <w:r>
        <w:rPr>
          <w:rFonts w:eastAsia="Times New Roman"/>
          <w:color w:val="000000"/>
        </w:rPr>
        <w:br/>
        <w:t xml:space="preserve">Визначення, облiк та оцiнка зобов`язань вiдповiдає, прийнятiй на Товариствi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rFonts w:eastAsia="Times New Roman"/>
          <w:color w:val="000000"/>
        </w:rPr>
        <w:br/>
        <w:t>Тис. грн.</w:t>
      </w:r>
      <w:r>
        <w:rPr>
          <w:rFonts w:eastAsia="Times New Roman"/>
          <w:color w:val="000000"/>
        </w:rPr>
        <w:br/>
        <w:t>Поточна кредиторська заборгованiсть за: 2014 рiк</w:t>
      </w:r>
      <w:r>
        <w:rPr>
          <w:rFonts w:eastAsia="Times New Roman"/>
          <w:color w:val="000000"/>
        </w:rPr>
        <w:br/>
        <w:t>Примiтки</w:t>
      </w:r>
      <w:r>
        <w:rPr>
          <w:rFonts w:eastAsia="Times New Roman"/>
          <w:color w:val="000000"/>
        </w:rPr>
        <w:br/>
        <w:t>товари, роботи, послуги 13 Поточна</w:t>
      </w:r>
      <w:r>
        <w:rPr>
          <w:rFonts w:eastAsia="Times New Roman"/>
          <w:color w:val="000000"/>
        </w:rPr>
        <w:br/>
        <w:t xml:space="preserve">розрахунками з бюджетом 0 </w:t>
      </w:r>
      <w:r>
        <w:rPr>
          <w:rFonts w:eastAsia="Times New Roman"/>
          <w:color w:val="000000"/>
        </w:rPr>
        <w:br/>
        <w:t>розрахунками зi страхування 1 Поточна</w:t>
      </w:r>
      <w:r>
        <w:rPr>
          <w:rFonts w:eastAsia="Times New Roman"/>
          <w:color w:val="000000"/>
        </w:rPr>
        <w:br/>
        <w:t>розрахунками з оплати працi 3 Поточна</w:t>
      </w:r>
      <w:r>
        <w:rPr>
          <w:rFonts w:eastAsia="Times New Roman"/>
          <w:color w:val="000000"/>
        </w:rPr>
        <w:br/>
        <w:t xml:space="preserve">Поточнi забезпечення 0 Розрахунок зроблено в кiнцi року </w:t>
      </w:r>
      <w:r>
        <w:rPr>
          <w:rFonts w:eastAsia="Times New Roman"/>
          <w:color w:val="000000"/>
        </w:rPr>
        <w:br/>
        <w:t xml:space="preserve">розрахунками з учасниками 0 </w:t>
      </w:r>
      <w:r>
        <w:rPr>
          <w:rFonts w:eastAsia="Times New Roman"/>
          <w:color w:val="000000"/>
        </w:rPr>
        <w:br/>
        <w:t xml:space="preserve">Iншi поточнi зобов'язання 0 </w:t>
      </w:r>
      <w:r>
        <w:rPr>
          <w:rFonts w:eastAsia="Times New Roman"/>
          <w:color w:val="000000"/>
        </w:rPr>
        <w:br/>
        <w:t xml:space="preserve">РАЗОМ: 17 </w:t>
      </w:r>
      <w:r>
        <w:rPr>
          <w:rFonts w:eastAsia="Times New Roman"/>
          <w:color w:val="000000"/>
        </w:rPr>
        <w:br/>
        <w:t>Iнформацiя про поточну кредиторську заборгованiсть за товари, роботи, послуги, iншi поточнi зобов'язання та довгостроковi фiнансовi зобов’язання для перевiрки надавалась, але в аудиторському висновку не вiдображається в зв’язку з тим, що становить комерцiйну таємницю Товариства.</w:t>
      </w:r>
      <w:r>
        <w:rPr>
          <w:rFonts w:eastAsia="Times New Roman"/>
          <w:color w:val="000000"/>
        </w:rPr>
        <w:br/>
        <w:t xml:space="preserve">Облiк розрахункiв з пiдзвiтними особами ведеться згiдно первинних документiв. </w:t>
      </w:r>
      <w:r>
        <w:rPr>
          <w:rFonts w:eastAsia="Times New Roman"/>
          <w:color w:val="000000"/>
        </w:rPr>
        <w:lastRenderedPageBreak/>
        <w:t>Перевiркою не встановлено порушень ведення облiку розрахункiв з пiдзвiтними особами.</w:t>
      </w:r>
      <w:r>
        <w:rPr>
          <w:rFonts w:eastAsia="Times New Roman"/>
          <w:color w:val="000000"/>
        </w:rPr>
        <w:br/>
        <w:t xml:space="preserve">Визначення, облiк та оцiнка зобов`язань вiдповiдає, прийнятiй на Товариствi полiтицi. Вибiркова перевiрка дає змогу зробити висновок, що у всiх суттєвих аспектах зобов`язання Товариства у бухгалтерському облiку вiдображенi у повному обсязi та вiдповiдають розмiру визнаних засобiв чи витрат. </w:t>
      </w:r>
      <w:r>
        <w:rPr>
          <w:rFonts w:eastAsia="Times New Roman"/>
          <w:color w:val="000000"/>
        </w:rPr>
        <w:br/>
        <w:t>5.2 Дiї, що виникли пiсля дати Балансу</w:t>
      </w:r>
      <w:r>
        <w:rPr>
          <w:rFonts w:eastAsia="Times New Roman"/>
          <w:color w:val="000000"/>
        </w:rPr>
        <w:br/>
        <w:t>За перiод з 01.01.2015 р. по 25.03.2015 р. не пройшли подiї, що могли суттєво вплинути на фiнансову звiтнiсть Публiчного акцiонерного товариства.</w:t>
      </w:r>
      <w:r>
        <w:rPr>
          <w:rFonts w:eastAsia="Times New Roman"/>
          <w:color w:val="000000"/>
        </w:rPr>
        <w:br/>
        <w:t xml:space="preserve">Протягом звiтного перiоду не вiдбувалось нi купiвлi, нi продажу понад 10 вiдсоткiв вартостi активiв (у тому числi акцiй (частки, паю) у статутному (складеному, пайовому) капiталi iншої юридичної особи), не пов'язану з основною дiяльнiстю. </w:t>
      </w:r>
      <w:r>
        <w:rPr>
          <w:rFonts w:eastAsia="Times New Roman"/>
          <w:color w:val="000000"/>
        </w:rPr>
        <w:br/>
        <w:t>Iнформацiя про змiни в органiзацiйнiй структурi ПАТ за звiтний перiод: змiн не було.</w:t>
      </w:r>
      <w:r>
        <w:rPr>
          <w:rFonts w:eastAsia="Times New Roman"/>
          <w:color w:val="000000"/>
        </w:rPr>
        <w:br/>
        <w:t xml:space="preserve">Протягом звiтного перiоду створення нових дочiрнiх пiдприємств емiтента та набуття пiдприємством статусу залежного вiд емiтента не вiдбувалось. </w:t>
      </w:r>
      <w:r>
        <w:rPr>
          <w:rFonts w:eastAsia="Times New Roman"/>
          <w:color w:val="000000"/>
        </w:rPr>
        <w:br/>
        <w:t xml:space="preserve">Iнформацiя стосовно системи оцiнки та управлiння ризиками. </w:t>
      </w:r>
      <w:r>
        <w:rPr>
          <w:rFonts w:eastAsia="Times New Roman"/>
          <w:color w:val="000000"/>
        </w:rPr>
        <w:br/>
        <w:t xml:space="preserve">Товариство для ефективного управлiння ризиками здiйснює такi заходи: </w:t>
      </w:r>
      <w:r>
        <w:rPr>
          <w:rFonts w:eastAsia="Times New Roman"/>
          <w:color w:val="000000"/>
        </w:rPr>
        <w:br/>
        <w:t xml:space="preserve">- регулярно виявляє та оцiнює ризики, якi впливають на досягнення стратегiчних та операцiйних цiлей; </w:t>
      </w:r>
      <w:r>
        <w:rPr>
          <w:rFonts w:eastAsia="Times New Roman"/>
          <w:color w:val="000000"/>
        </w:rPr>
        <w:br/>
        <w:t xml:space="preserve">- забезпечує прийняття рiшень з врахуванням їх потенцiйних ризикiв та встановленню ризик-апетиту; </w:t>
      </w:r>
      <w:r>
        <w:rPr>
          <w:rFonts w:eastAsia="Times New Roman"/>
          <w:color w:val="000000"/>
        </w:rPr>
        <w:br/>
        <w:t xml:space="preserve">- обирає оптимальну стратегiю управлiння ризиками, порiвнюючи ступiнь зниження ризику та вартiсть заходiв з їх управлiння; </w:t>
      </w:r>
      <w:r>
        <w:rPr>
          <w:rFonts w:eastAsia="Times New Roman"/>
          <w:color w:val="000000"/>
        </w:rPr>
        <w:br/>
        <w:t xml:space="preserve">- здiйснює регулярний монiторинг ефективностi заходiв з управлiння ризиками; </w:t>
      </w:r>
      <w:r>
        <w:rPr>
          <w:rFonts w:eastAsia="Times New Roman"/>
          <w:color w:val="000000"/>
        </w:rPr>
        <w:br/>
        <w:t xml:space="preserve">- рекомендує страхування ризикiв, управлiння якими всерединi компанiї нерацiонально чи неможливо. </w:t>
      </w:r>
      <w:r>
        <w:rPr>
          <w:rFonts w:eastAsia="Times New Roman"/>
          <w:color w:val="000000"/>
        </w:rPr>
        <w:br/>
      </w:r>
      <w:r>
        <w:rPr>
          <w:rFonts w:eastAsia="Times New Roman"/>
          <w:color w:val="000000"/>
        </w:rPr>
        <w:br/>
      </w:r>
      <w:r>
        <w:rPr>
          <w:rFonts w:eastAsia="Times New Roman"/>
          <w:color w:val="000000"/>
        </w:rPr>
        <w:br/>
        <w:t>6 Операцiї з пов’язаними сторонами</w:t>
      </w:r>
      <w:r>
        <w:rPr>
          <w:rFonts w:eastAsia="Times New Roman"/>
          <w:color w:val="000000"/>
        </w:rPr>
        <w:br/>
        <w:t>Протягом 2014 року Товариство не встановлено операцiй з пов’язаними сторонами..</w:t>
      </w:r>
      <w:r>
        <w:rPr>
          <w:rFonts w:eastAsia="Times New Roman"/>
          <w:color w:val="000000"/>
        </w:rPr>
        <w:br/>
      </w:r>
      <w:r>
        <w:rPr>
          <w:rFonts w:eastAsia="Times New Roman"/>
          <w:color w:val="000000"/>
        </w:rPr>
        <w:br/>
        <w:t>7 Непередбаченi зобов’язання</w:t>
      </w:r>
      <w:r>
        <w:rPr>
          <w:rFonts w:eastAsia="Times New Roman"/>
          <w:color w:val="000000"/>
        </w:rPr>
        <w:br/>
        <w:t xml:space="preserve">Податковi та юридичнi питання </w:t>
      </w:r>
      <w:r>
        <w:rPr>
          <w:rFonts w:eastAsia="Times New Roman"/>
          <w:color w:val="000000"/>
        </w:rPr>
        <w:br/>
        <w:t>Українське законодавство, що регулює оподаткування та аспекти здiйснення операцiй, продовжує розвиватися як наслiдок переходу до ринкової економiки. Положення законодавчих та нормативних актiв не завжди чiтко сформульованi, а їх iнтерпретацiя залежить вiд точки зору мiсцевих, регiональних i центральних органiв державної влади та iнших урядових iнститутiв. Нерiдко точки зору рiзних органiв на певне питання не спiвпадають. Керiвництво вважає, що дiяльнiсть Товариства здiйснювалась вiдповiдно до законодавства, i всi передбаченi законодавством податки були нарахованi або сплаченi.</w:t>
      </w:r>
      <w:r>
        <w:rPr>
          <w:rFonts w:eastAsia="Times New Roman"/>
          <w:color w:val="000000"/>
        </w:rPr>
        <w:br/>
        <w:t>Захворювання</w:t>
      </w:r>
      <w:r>
        <w:rPr>
          <w:rFonts w:eastAsia="Times New Roman"/>
          <w:color w:val="000000"/>
        </w:rPr>
        <w:br/>
        <w:t>За перiод, що пiдлягав перевiрцi, на Товариствi не зафiксованi випадки виробничого травматизму чи професiйного захворювання, що є позитивним фактором. Вiдповiдно, виплат сум компенсацiй втрат вiд нещасних випадкiв на виробництвi та вiд професiйних захворювань протягом перiоду – не було.</w:t>
      </w:r>
      <w:r>
        <w:rPr>
          <w:rFonts w:eastAsia="Times New Roman"/>
          <w:color w:val="000000"/>
        </w:rPr>
        <w:br/>
        <w:t>Оподаткування</w:t>
      </w:r>
      <w:r>
        <w:rPr>
          <w:rFonts w:eastAsia="Times New Roman"/>
          <w:color w:val="000000"/>
        </w:rPr>
        <w:br/>
        <w:t xml:space="preserve">Внаслiдок наявностi в українському комерцiйному законодавствi, й податковому зокрема, положень, якi дозволяють бiльш нiж один варiант тлумачення, а також через практику, що склалася в загалом нестабiльному економiчному середовищi, за якої податковi органи довiльно тлумачать аспекти економiчної дiяльностi, у разi, якщо податковi органи пiддадуть сумнiву певне тлумачення, засноване на оцiнцi керiвництва економiчної дiяльностi Пiдприємства, можливо, що Пiдприємство змушене буде сплатити додатковi податки, штрафи, пенi. Така невизначенiсть може вплинути на вартiсть фiнансових </w:t>
      </w:r>
      <w:r>
        <w:rPr>
          <w:rFonts w:eastAsia="Times New Roman"/>
          <w:color w:val="000000"/>
        </w:rPr>
        <w:lastRenderedPageBreak/>
        <w:t>iнструментiв, втрати та резерви пiд знецiнення, а також на ринковий рiвень цiн на угоди. На думку керiвництва, Пiдприємство сплатило усi податки, тому фiнансова звiтнiсть не мiстить резервiв пiд податковi збитки. Податковi звiти можуть переглядатися вiдповiдними податковими органами протягом трьох рокiв.</w:t>
      </w:r>
      <w:r>
        <w:rPr>
          <w:rFonts w:eastAsia="Times New Roman"/>
          <w:color w:val="000000"/>
        </w:rPr>
        <w:br/>
        <w:t>Економiчне середовище</w:t>
      </w:r>
      <w:r>
        <w:rPr>
          <w:rFonts w:eastAsia="Times New Roman"/>
          <w:color w:val="000000"/>
        </w:rPr>
        <w:br/>
        <w:t>Пiдприємство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Пiдприємства. Майбутнє спрямування економiчної полiтики з боку українського Уряду може мати вплив на реалiзацiю активiв Пiдприємства, а також на здатнiсть Пiдприємства сплачувати заборгованостi згiдно строкiв погашення.</w:t>
      </w:r>
      <w:r>
        <w:rPr>
          <w:rFonts w:eastAsia="Times New Roman"/>
          <w:color w:val="000000"/>
        </w:rPr>
        <w:br/>
      </w:r>
      <w:r>
        <w:rPr>
          <w:rFonts w:eastAsia="Times New Roman"/>
          <w:color w:val="000000"/>
        </w:rPr>
        <w:br/>
        <w:t xml:space="preserve">Цiлi та полiтика управлiння фiнансовими ризиками. </w:t>
      </w:r>
      <w:r>
        <w:rPr>
          <w:rFonts w:eastAsia="Times New Roman"/>
          <w:color w:val="000000"/>
        </w:rPr>
        <w:br/>
        <w:t>Основнi фiнансовi iнструменти пiдприємства включають торгову кредиторську заборгованiсть. Основною цiллю даних фiнансових iнструментiв є власнi обiговi кошти для фiнансування операцiй Пiдприємства. Також Пiдприємство має iншi фiнансовi iнструменти, такi як торгова дебiторська заборгованiсть, грошовi кошти та короткостроковi депозити.</w:t>
      </w:r>
      <w:r>
        <w:rPr>
          <w:rFonts w:eastAsia="Times New Roman"/>
          <w:color w:val="000000"/>
        </w:rPr>
        <w:br/>
        <w:t xml:space="preserve">Полiтика управлiння ризиками включає наступне: </w:t>
      </w:r>
      <w:r>
        <w:rPr>
          <w:rFonts w:eastAsia="Times New Roman"/>
          <w:color w:val="000000"/>
        </w:rPr>
        <w:br/>
        <w:t>Кредитний ризик. Пiдприємство укладає угоди виключно з вiдомими та фiнансово стабiльними сторонами. Операцiї з новими клiєнтами здiйснюються на основi попереднiх оплат. Дебiторська заборгованiсть пiдлягає постiйному монiторингу. Вiдносно кредитного ризику, пов’язаного з iншими фiнансовими iнструментами, якi включають фiнансовi iнвестицiї, доступнi для продажу, та фiнансовi iнвестицiї до погашення, ризик пов'язаний з можливiстю дефолту контрагента, при цьому максимальний ризик дорiвнює балансовiй вартостi iнструменту.</w:t>
      </w:r>
      <w:r>
        <w:rPr>
          <w:rFonts w:eastAsia="Times New Roman"/>
          <w:color w:val="000000"/>
        </w:rPr>
        <w:br/>
        <w:t>В областi управлiння капiталом керiвництво Товариства ставить своєю метою гарантувати Товариству можливiсть ведення безперервної дiяльностi для забезпечення доходiв акцiонерам та вигiд iншим зацiкавленим сторонам, а також пiдтримка оптимальної структури капiталу з метою зниження витрат на його залучення .</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 xml:space="preserve">Звiт </w:t>
      </w:r>
      <w:r>
        <w:rPr>
          <w:rFonts w:eastAsia="Times New Roman"/>
          <w:color w:val="000000"/>
        </w:rPr>
        <w:br/>
      </w:r>
      <w:r>
        <w:rPr>
          <w:rFonts w:eastAsia="Times New Roman"/>
          <w:color w:val="000000"/>
        </w:rPr>
        <w:br/>
        <w:t>щодо вимог iнших законодавчих i нормативних актiв</w:t>
      </w:r>
      <w:r>
        <w:rPr>
          <w:rFonts w:eastAsia="Times New Roman"/>
          <w:color w:val="000000"/>
        </w:rPr>
        <w:br/>
      </w:r>
      <w:r>
        <w:rPr>
          <w:rFonts w:eastAsia="Times New Roman"/>
          <w:color w:val="000000"/>
        </w:rPr>
        <w:br/>
        <w:t xml:space="preserve">Публiчного акцiонерного товариства </w:t>
      </w:r>
      <w:r>
        <w:rPr>
          <w:rFonts w:eastAsia="Times New Roman"/>
          <w:color w:val="000000"/>
        </w:rPr>
        <w:br/>
        <w:t>«Райагротехсервiс»</w:t>
      </w:r>
      <w:r>
        <w:rPr>
          <w:rFonts w:eastAsia="Times New Roman"/>
          <w:color w:val="000000"/>
        </w:rPr>
        <w:br/>
        <w:t>станом на 31 грудня 2014 р.</w:t>
      </w:r>
      <w:r>
        <w:rPr>
          <w:rFonts w:eastAsia="Times New Roman"/>
          <w:color w:val="000000"/>
        </w:rPr>
        <w:br/>
      </w:r>
      <w:r>
        <w:rPr>
          <w:rFonts w:eastAsia="Times New Roman"/>
          <w:color w:val="000000"/>
        </w:rPr>
        <w:br/>
        <w:t>Розкриття iнформацiї статтi 41.</w:t>
      </w:r>
      <w:r>
        <w:rPr>
          <w:rFonts w:eastAsia="Times New Roman"/>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w:t>
      </w:r>
      <w:r>
        <w:rPr>
          <w:rFonts w:eastAsia="Times New Roman"/>
          <w:color w:val="000000"/>
        </w:rPr>
        <w:lastRenderedPageBreak/>
        <w:t xml:space="preserve">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rFonts w:eastAsia="Times New Roman"/>
          <w:color w:val="000000"/>
        </w:rPr>
        <w:br/>
        <w:t>Iнша допомiжна iнформацiя.</w:t>
      </w:r>
      <w:r>
        <w:rPr>
          <w:rFonts w:eastAsia="Times New Roman"/>
          <w:color w:val="000000"/>
        </w:rPr>
        <w:br/>
        <w:t>Звiт щодо результатiв виконання додаткових вимог, визначених п. 2.7 «Вимог до аудиторського висновку при розкриттi iнформацiї емiтентами цiнних паперiв (крiм емiтентiв облiгацiй мiсцевої позики)», затверджених рiшенням ДКЦПФР вiд 29.09.2011 року №1360</w:t>
      </w:r>
      <w:r>
        <w:rPr>
          <w:rFonts w:eastAsia="Times New Roman"/>
          <w:color w:val="000000"/>
        </w:rPr>
        <w:br/>
        <w:t>• Вiдповiднiсть вартостi чистих активiв вимогам законодавства.</w:t>
      </w:r>
      <w:r>
        <w:rPr>
          <w:rFonts w:eastAsia="Times New Roman"/>
          <w:color w:val="000000"/>
        </w:rPr>
        <w:br/>
        <w:t>Вартiсть чистих активiв Товариства визначена з урахуванням “Методичних рекомендацiй щодо визначення вартостi чистих активiв акцiонерних Товариств”, затверджених рiшенням ДКЦПФР № 485 вiд 17.11.2004р. Вартiсть чистих активiв акцiонерного товариства станом на 31.12.2014 р. бiльша вiд статутного капiталу Товариства та нормативного i складають 709 тис. грн. Вимоги п.3 ст.155 Цивiльного кодексу України дотримуються.</w:t>
      </w:r>
      <w:r>
        <w:rPr>
          <w:rFonts w:eastAsia="Times New Roman"/>
          <w:color w:val="000000"/>
        </w:rPr>
        <w:br/>
        <w:t>• Наявностi суттєвих невiдповiдностей мiж фiнансовою звiтнiстю, що пiдлягала аудиту, та iншою iнформацiєю, що розкривається емiтентом цiнних паперiв та подається до Комiсiї разом з фiнансовою звiтнiстю.</w:t>
      </w:r>
      <w:r>
        <w:rPr>
          <w:rFonts w:eastAsia="Times New Roman"/>
          <w:color w:val="000000"/>
        </w:rPr>
        <w:br/>
        <w:t>Пiд час виконання завдання аудитор здiйснив аудиторськi процедури щодо виявлення наявностi суттєвих невiдповiдностей мiж фiнансовою звiтнiстю, що пiдлягала аудиту та iншою iнформацiєю, що розкривається емiтентом у вiдповiдностi з МСА 720 «Вiдповiдальнiсть аудитора щодо iншої iнформацiї в документах, що мiстять перевiрену аудитором фiнансову звiтнiсть».</w:t>
      </w:r>
      <w:r>
        <w:rPr>
          <w:rFonts w:eastAsia="Times New Roman"/>
          <w:color w:val="000000"/>
        </w:rPr>
        <w:br/>
        <w:t>В результатi проведення аудиторських процедур нами не було встановлено фактiв про iншi подiї, iнформацiя про якi мала б надаватись користувачам звiтностi згiдно з вимогами статтi 41 Закону України „Про цiннi папери та фондовий ринок”.</w:t>
      </w:r>
      <w:r>
        <w:rPr>
          <w:rFonts w:eastAsia="Times New Roman"/>
          <w:color w:val="000000"/>
        </w:rPr>
        <w:br/>
        <w:t xml:space="preserve">На пiдставi наданих до аудиторської перевiрки документiв, ми можемо зробити висновок, що iнформацiя про подiї, якi вiдбулися протягом звiтного року та можуть вплинути на фiнансово-господарський стан емiтента та призвести до змiни вартостi його цiнних паперiв i визнаються частиною першою статтi 41 Закону України „Про цiннi папери та фондовий ринок” своєчасно оприлюднюється товариством та надається користувачам звiтностi. </w:t>
      </w:r>
      <w:r>
        <w:rPr>
          <w:rFonts w:eastAsia="Times New Roman"/>
          <w:color w:val="000000"/>
        </w:rPr>
        <w:br/>
        <w:t>Аудитор не отримав достатнi та прийнятнi аудиторськi докази , щодо наявностi суттєвих невiдповiдностей мiж фiнансовою звiтнiстю, що пiдлягала аудиту, та iншою iнформацiєю, що розкривається емiтентом цiнних паперiв (Товариством) та подається до Комiсiї разом з фiнансовою звiтнiстю.</w:t>
      </w:r>
      <w:r>
        <w:rPr>
          <w:rFonts w:eastAsia="Times New Roman"/>
          <w:color w:val="000000"/>
        </w:rPr>
        <w:br/>
        <w:t>• Виконання значних правочинiв</w:t>
      </w:r>
      <w:r>
        <w:rPr>
          <w:rFonts w:eastAsia="Times New Roman"/>
          <w:color w:val="000000"/>
        </w:rPr>
        <w:br/>
        <w:t>Значний правочин – правочин (крiм правочину з розмiщення товариством власних акцiй), учинений акцiонерним товариством, якщо ринкова вартiсть майна (робiт, послуг), що є його предметом, становить 10 i бiльше вiдсоткiв вартостi активiв товариства, за даними останньої рiчної фiнансової звiтностi.</w:t>
      </w:r>
      <w:r>
        <w:rPr>
          <w:rFonts w:eastAsia="Times New Roman"/>
          <w:color w:val="000000"/>
        </w:rPr>
        <w:br/>
        <w:t>Аудитор виконав процедури на вiдповiднiсть законодавству у частинi вимог до закону: п.1-5 ст.70 Закону України «Про акцiонернi товариства».</w:t>
      </w:r>
      <w:r>
        <w:rPr>
          <w:rFonts w:eastAsia="Times New Roman"/>
          <w:color w:val="000000"/>
        </w:rPr>
        <w:br/>
        <w:t xml:space="preserve">Товариство у 2014 роцi вiдповiдно до ст.70 Закону України «Про акцiонернi товариства» не мало виконання значних правочинiв (10 i бiльше вiдсоткiв вартостi активiв товариства за даними останньої рiчної фiнансової звiтностi) </w:t>
      </w:r>
      <w:r>
        <w:rPr>
          <w:rFonts w:eastAsia="Times New Roman"/>
          <w:color w:val="000000"/>
        </w:rPr>
        <w:br/>
        <w:t>• Вiдповiднiсть стану корпоративного управлiння, у тому числi стану внутрiшнього аудиту вiдповiдно до Закону України "Про акцiонернi товариства"</w:t>
      </w:r>
      <w:r>
        <w:rPr>
          <w:rFonts w:eastAsia="Times New Roman"/>
          <w:color w:val="000000"/>
        </w:rPr>
        <w:br/>
        <w:t>Аудитор здiйснив виконання процедур з метою висловлення думки щодо стану корпоративного управлiння, у тому числi внутрiшнього аудиту вiдповiдно до Закону України «Про акцiонернi товариства».</w:t>
      </w:r>
      <w:r>
        <w:rPr>
          <w:rFonts w:eastAsia="Times New Roman"/>
          <w:color w:val="000000"/>
        </w:rPr>
        <w:br/>
      </w:r>
      <w:r>
        <w:rPr>
          <w:rFonts w:eastAsia="Times New Roman"/>
          <w:color w:val="000000"/>
        </w:rPr>
        <w:lastRenderedPageBreak/>
        <w:t>Метою виконання процедур щодо стану корпоративного управлiння, у тому числi внутрiшнього аудиту вiдповiдно до Закону України «Про акцiонернi товариства» було отримання доказiв, якi дозволяють сформувати судження щодо:</w:t>
      </w:r>
      <w:r>
        <w:rPr>
          <w:rFonts w:eastAsia="Times New Roman"/>
          <w:color w:val="000000"/>
        </w:rPr>
        <w:br/>
        <w:t>1) вiдповiдностi системи корпоративного управлiння у товариствi вимогам Закону України «Про акцiонернi товариства» та вимогам Статуту,</w:t>
      </w:r>
      <w:r>
        <w:rPr>
          <w:rFonts w:eastAsia="Times New Roman"/>
          <w:color w:val="000000"/>
        </w:rPr>
        <w:br/>
        <w:t>2) достовiрностi та повноти розкриття iнформацiї про стан корпоративного управлiння у роздiлi «Iнформацiя про стан корпоративного управлiння» рiчного звiту акцiонерного товариства.</w:t>
      </w:r>
      <w:r>
        <w:rPr>
          <w:rFonts w:eastAsia="Times New Roman"/>
          <w:color w:val="000000"/>
        </w:rPr>
        <w:br/>
        <w:t>Кiлькiсний склад сформованих органiв корпоративного управлiння вiдповiдає вимогам Статуту. Функцiонування органiв корпоративного управлiння регламентується положеннями Статуту.</w:t>
      </w:r>
      <w:r>
        <w:rPr>
          <w:rFonts w:eastAsia="Times New Roman"/>
          <w:color w:val="000000"/>
        </w:rPr>
        <w:br/>
        <w:t xml:space="preserve">Аудитором виконанi аудиторськi процедури щодо перевiрки звiту про корпоративне управлiння, який є складовою частиною Рiчної iнформацiї емiтента цiнних паперiв Товариства за 2014 рiк. </w:t>
      </w:r>
      <w:r>
        <w:rPr>
          <w:rFonts w:eastAsia="Times New Roman"/>
          <w:color w:val="000000"/>
        </w:rPr>
        <w:br/>
        <w:t>За результатами виконаних процедур перевiрки стану корпоративного управлiння, у тому числi внутрiшнього аудиту, вiдповiдно до Закону України «Про акцiонернi товариства» можна зробити висновок, що прийнята та функцiонуюча система корпоративного управлiння у Товариствi вiдповiдає вимогам Статуту та вимогам Закону України «Про акцiонернi товариства».</w:t>
      </w:r>
      <w:r>
        <w:rPr>
          <w:rFonts w:eastAsia="Times New Roman"/>
          <w:color w:val="000000"/>
        </w:rPr>
        <w:br/>
        <w:t>• Iдентифiкацiї та оцiнки аудитором ризикiв суттєвого викривлення фiнансової звiтностi внаслiдок шахрайства</w:t>
      </w:r>
      <w:r>
        <w:rPr>
          <w:rFonts w:eastAsia="Times New Roman"/>
          <w:color w:val="000000"/>
        </w:rPr>
        <w:br/>
        <w:t>Пiд час виконання процедур оцiнки ризикiв i пов’язаної з ними дiяльностi для отримання розумiння суб’єкта господарювання та його середовища, включаючи його внутрiшнiй контроль, як цього вимагає МСА 315 «Iдентифiкацiя та оцiнка ризикiв суттєвих викривлень через розумiння суб’єкта господарювання i його середовища», аудитор виконав процедури, необхiднi для отримання iнформацiї, яка використовуватиметься пiд час iдентифiкацiї ризикiв суттєвого викривлення внаслiдок шахрайства.</w:t>
      </w:r>
      <w:r>
        <w:rPr>
          <w:rFonts w:eastAsia="Times New Roman"/>
          <w:color w:val="000000"/>
        </w:rPr>
        <w:br/>
        <w:t xml:space="preserve">Аудитором були поданi запити до управлiнського персоналу та iнших працiвникiв суб’єкта господарювання, якi на думку аудитора, можуть мати iнформацiю, яка, ймовiрно, може допомогти при iдентифiкацiї ризикiв суттєвого викривлення в наслiдок шахрайства або помилки. Аудитором були проведенi аналiтичнi процедури. Аудитором були виконанi спостереження та перевiрка. Аудитор отримав розумiння, зовнiшнiх чинникiв, дiяльностi суб’єкта господарювання, структуру його власностi та корпоративного управлiння, структуру та спосiб фiнансування, облiкову полiтику, цiлi та стратегiї i пов’язанi з ними бiзнес-ризики, оцiнки та огляди фiнансових результатiв. </w:t>
      </w:r>
      <w:r>
        <w:rPr>
          <w:rFonts w:eastAsia="Times New Roman"/>
          <w:color w:val="000000"/>
        </w:rPr>
        <w:br/>
        <w:t>Аудитор не отримав доказiв стосовно суттєвого викривлення фiнансової звiтностi товариства за 2014 рiк внаслiдок шахрайства.</w:t>
      </w:r>
      <w:r>
        <w:rPr>
          <w:rFonts w:eastAsia="Times New Roman"/>
          <w:color w:val="000000"/>
        </w:rPr>
        <w:br/>
        <w:t>Аналiз та оцiнка фiнансових показникiв .</w:t>
      </w:r>
      <w:r>
        <w:rPr>
          <w:rFonts w:eastAsia="Times New Roman"/>
          <w:color w:val="000000"/>
        </w:rPr>
        <w:br/>
        <w:t>Аналiз та економiчна оцiнка платоспроможностi та фiнансової стiйкостi Товариства здiйсненi на основi даних фiнансових звiтiв, шляхом розрахункiв системи показникiв – коефiцiєнтiв про лiквiднiсть i фiнансову стiйкiсть та на основi перевiрки даних первинного, аналiтичного та синтетичного облiку. Для складання довiдки були наданi: Фiнансовi звiти за 2013р та 2014р., оборотно – сальдовi вiдомостi по рахунках.</w:t>
      </w:r>
      <w:r>
        <w:rPr>
          <w:rFonts w:eastAsia="Times New Roman"/>
          <w:color w:val="000000"/>
        </w:rPr>
        <w:br/>
        <w:t xml:space="preserve">Коефiцiєнт швидкої лiквiдностi. Аналiз лiквiдностi дозволяє визначити спроможнiсть Товариства сплачувати свої поточнi зобов’язання. Коефiцiєнт швидкої лiквiдностi обчислюється як вiдношення найбiльш лiквiдних оборотних засобiв (грошових коштiв та їх еквiвалентiв, поточних фiнансових iнвестицiй та дебiторської заборгованостi) до поточних зобов’язань Товариства. Вiн вiдображає платiжнi можливостi Товариства щодо сплати поточних зобов’язань за умовами своєчасного проведення розрахункiв, тобто показує, скiльки лiквiдних коштiв припадає на 1грн. поточної заборгованостi, i становить 2.9, що бiльше за оптимальне значення (0,6-0,8). </w:t>
      </w:r>
      <w:r>
        <w:rPr>
          <w:rFonts w:eastAsia="Times New Roman"/>
          <w:color w:val="000000"/>
        </w:rPr>
        <w:br/>
        <w:t xml:space="preserve">Товариство зможе виконати свої зобов’язання перед кредиторами, якщо вони навiть </w:t>
      </w:r>
      <w:r>
        <w:rPr>
          <w:rFonts w:eastAsia="Times New Roman"/>
          <w:color w:val="000000"/>
        </w:rPr>
        <w:lastRenderedPageBreak/>
        <w:t>одночасно зажадають вiд Товариства повернення боргiв .</w:t>
      </w:r>
      <w:r>
        <w:rPr>
          <w:rFonts w:eastAsia="Times New Roman"/>
          <w:color w:val="000000"/>
        </w:rPr>
        <w:br/>
        <w:t>Коефiцiєнт загальної лiквiдностi (покриття) розраховується як вiдношення оборотних активiв до поточних зобов’язань Товариства, та показує достатнiсть ресурсiв Товариства, якi можуть бути використанi для погашення його поточних зобов’язань. Орiєнтовне позитивне значення показника 1-2. Розрахований коефiцiєнт вищий за оптимальне значення. Так, значення цього показника за даними балансу Товариства на кiнець перiоду становить 5.8.</w:t>
      </w:r>
      <w:r>
        <w:rPr>
          <w:rFonts w:eastAsia="Times New Roman"/>
          <w:color w:val="000000"/>
        </w:rPr>
        <w:br/>
        <w:t xml:space="preserve">Це свiдчить про те, Що Товариство за рахунок наявних коштiв, мобiлiзацiї боргiв на свою користь та реалiзацiї запасiв i iнших активiв в змозi одночасно задовольнити вимоги кредиторiв на 100% ( при цьому до уваги не взято заборгованiсть за довгостроковими зобов’язаннями). </w:t>
      </w:r>
      <w:r>
        <w:rPr>
          <w:rFonts w:eastAsia="Times New Roman"/>
          <w:color w:val="000000"/>
        </w:rPr>
        <w:br/>
        <w:t>Коефiцiєнт фiнансової стiйкостi (автономiї) показує питому вагу власного капiталу в загальнiй сумi засобiв, авансованих у його дiяльнiсть. Значення цього показника на кiнець року становить 41.7 Це свiдчить про те, що Товариство не здiйснює свою дiяльнiсть за рахунок позичкового капiталу.</w:t>
      </w:r>
      <w:r>
        <w:rPr>
          <w:rFonts w:eastAsia="Times New Roman"/>
          <w:color w:val="000000"/>
        </w:rPr>
        <w:br/>
        <w:t xml:space="preserve">Коефiцiєнт рентабельностi 2014 р. не розраховувався в зв’язку iз збитковiстю товариства. </w:t>
      </w:r>
      <w:r>
        <w:rPr>
          <w:rFonts w:eastAsia="Times New Roman"/>
          <w:color w:val="000000"/>
        </w:rPr>
        <w:br/>
        <w:t>За результатами дiяльностi Товариство отримало збиток в розмiрi – 1.0 тис.грн.</w:t>
      </w:r>
      <w:r>
        <w:rPr>
          <w:rFonts w:eastAsia="Times New Roman"/>
          <w:color w:val="000000"/>
        </w:rPr>
        <w:br/>
      </w:r>
      <w:r>
        <w:rPr>
          <w:rFonts w:eastAsia="Times New Roman"/>
          <w:color w:val="000000"/>
        </w:rPr>
        <w:br/>
        <w:t>Iншi елементи.</w:t>
      </w:r>
      <w:r>
        <w:rPr>
          <w:rFonts w:eastAsia="Times New Roman"/>
          <w:color w:val="000000"/>
        </w:rPr>
        <w:br/>
      </w:r>
      <w:r>
        <w:rPr>
          <w:rFonts w:eastAsia="Times New Roman"/>
          <w:color w:val="000000"/>
        </w:rPr>
        <w:br/>
        <w:t>Основнi вiдомостi про аудиторську фiрму.</w:t>
      </w:r>
      <w:r>
        <w:rPr>
          <w:rFonts w:eastAsia="Times New Roman"/>
          <w:color w:val="000000"/>
        </w:rPr>
        <w:br/>
        <w:t>Аудиторську перевiрку проведено незалежною аудиторською фiрмою ТОВ “ЮВМ – аудит”.</w:t>
      </w:r>
      <w:r>
        <w:rPr>
          <w:rFonts w:eastAsia="Times New Roman"/>
          <w:color w:val="000000"/>
        </w:rPr>
        <w:br/>
        <w:t>Свiдоцтво про внесення в Реєстр аудиторських фiрм та аудиторiв, якi одноособово надають аудиторськi послуги № 2488 рiшення Аудиторської Палати України № 98 вiд 26.01.2001р., рiшення Аудиторської Палати України № 158 вiд 26.01.2006р. та рiшення Аудиторської Палати України № 224/3 вiд 23.12.2010р.</w:t>
      </w:r>
      <w:r>
        <w:rPr>
          <w:rFonts w:eastAsia="Times New Roman"/>
          <w:color w:val="000000"/>
        </w:rPr>
        <w:br/>
        <w:t>Свiдоцтво № 0199 Про вiдповiднiсть системи контролю якостi, Рiшення АПУ вiд 22.12.2011 № 244/5 “Про результати зовнiшнiх перевiрок системи контролю якостi, створених аудиторськими фiрмами та аудиторами” - пройшли зовнiшню перевiрку системи контролю якостi аудиторських послуг.</w:t>
      </w:r>
      <w:r>
        <w:rPr>
          <w:rFonts w:eastAsia="Times New Roman"/>
          <w:color w:val="000000"/>
        </w:rPr>
        <w:br/>
        <w:t>Свiдоцтво № 98 про внесення до реєстру аудиторських фiрм, якi можуть проводити аудиторськi перевiрки професiйних учасникiв ринку цiнних паперiв, видане НКЦПФР України. Серiя та № Свiдоцтва: П 000098. Строк дiї Свiдоцтва: з 25.04.2013р. до 23.12.2015р.</w:t>
      </w:r>
      <w:r>
        <w:rPr>
          <w:rFonts w:eastAsia="Times New Roman"/>
          <w:color w:val="000000"/>
        </w:rPr>
        <w:br/>
        <w:t xml:space="preserve">Реквiзити ТОВ “ЮВМ –аудит ” : адреса : м. Київ, вул. Бажана 34/24 т/ф. 574-50-28. </w:t>
      </w:r>
      <w:r>
        <w:rPr>
          <w:rFonts w:eastAsia="Times New Roman"/>
          <w:color w:val="000000"/>
        </w:rPr>
        <w:br/>
        <w:t xml:space="preserve">(юридична) м. Бровари, вул. Черняхiвського 23-б к.171. </w:t>
      </w:r>
      <w:r>
        <w:rPr>
          <w:rFonts w:eastAsia="Times New Roman"/>
          <w:color w:val="000000"/>
        </w:rPr>
        <w:br/>
        <w:t>р/р № 26004271769 КРД "Райффайзен Банк АВАЛЬ" МФО 322904, код 20587317.</w:t>
      </w:r>
      <w:r>
        <w:rPr>
          <w:rFonts w:eastAsia="Times New Roman"/>
          <w:color w:val="000000"/>
        </w:rPr>
        <w:br/>
        <w:t>Директор аудиторської фiрми – Кузуб М.В. Сертифiкат аудитора серiї А № 004416 рiшення Аудиторської Палати України № 96 вiд 30.11.2000р., №140 вiд 29.10.2004р. та №207/2 вiд 29.10.2009р.</w:t>
      </w:r>
      <w:r>
        <w:rPr>
          <w:rFonts w:eastAsia="Times New Roman"/>
          <w:color w:val="000000"/>
        </w:rPr>
        <w:br/>
        <w:t xml:space="preserve">Завдання аудиторської фiрми ТОВ “ЮВМ – аудит” на проведення аудиту вiдповiдно договору за № 4-10 вiд 16.03.2015р. Перевiрку розпочато 17.03.2015р., перевiрку закiнчено 17.04.2015р. </w:t>
      </w:r>
      <w:r>
        <w:rPr>
          <w:rFonts w:eastAsia="Times New Roman"/>
          <w:color w:val="000000"/>
        </w:rPr>
        <w:br/>
        <w:t>Мiсце проведення аудиту: Закарпатська обл..,Тячiвський р-н, смт.Тересва, вул..В.Терешкової,10</w:t>
      </w:r>
      <w:r>
        <w:rPr>
          <w:rFonts w:eastAsia="Times New Roman"/>
          <w:color w:val="000000"/>
        </w:rPr>
        <w:br/>
        <w:t>Основнi умови договору: аналiз та пiдтвердження достовiрностi та повноти фiнансової звiтностi, правильнiсть класифiкацiї та оцiнки активiв в бухгалтерському облiку, вiдповiднiсть розмiрiв зобов’язань за перiод з “01” сiчня 2014р. по “31” грудня 2014р.</w:t>
      </w:r>
      <w:r>
        <w:rPr>
          <w:rFonts w:eastAsia="Times New Roman"/>
          <w:color w:val="000000"/>
        </w:rPr>
        <w:br/>
      </w:r>
      <w:r>
        <w:rPr>
          <w:rFonts w:eastAsia="Times New Roman"/>
          <w:color w:val="000000"/>
        </w:rPr>
        <w:br/>
        <w:t>Помiчник аудитора Нагородна М.В.</w:t>
      </w:r>
      <w:r>
        <w:rPr>
          <w:rFonts w:eastAsia="Times New Roman"/>
          <w:color w:val="000000"/>
        </w:rPr>
        <w:br/>
        <w:t>Аудитор Холод В.I.</w:t>
      </w:r>
      <w:r>
        <w:rPr>
          <w:rFonts w:eastAsia="Times New Roman"/>
          <w:color w:val="000000"/>
        </w:rPr>
        <w:br/>
      </w:r>
      <w:r>
        <w:rPr>
          <w:rFonts w:eastAsia="Times New Roman"/>
          <w:color w:val="000000"/>
        </w:rPr>
        <w:lastRenderedPageBreak/>
        <w:t>Сертифiкат серiї А № 003202 вiд 25.09.2011р.</w:t>
      </w:r>
      <w:r>
        <w:rPr>
          <w:rFonts w:eastAsia="Times New Roman"/>
          <w:color w:val="000000"/>
        </w:rPr>
        <w:br/>
      </w:r>
      <w:r>
        <w:rPr>
          <w:rFonts w:eastAsia="Times New Roman"/>
          <w:color w:val="000000"/>
        </w:rPr>
        <w:br/>
        <w:t>Директор аудиторської фiрми Кузуб М.В.</w:t>
      </w:r>
      <w:r>
        <w:rPr>
          <w:rFonts w:eastAsia="Times New Roman"/>
          <w:color w:val="000000"/>
        </w:rPr>
        <w:br/>
        <w:t>“ Ю В М - а у д и т “ Сертифiкат серiї А № 004416 вiд 29.10.2009р.- АПУ</w:t>
      </w:r>
      <w:r>
        <w:rPr>
          <w:rFonts w:eastAsia="Times New Roman"/>
          <w:color w:val="000000"/>
        </w:rPr>
        <w:br/>
        <w:t>Свiдоцтво серiї АБ №000626 вiд 11.12.2007р. - ДКЦПФР</w:t>
      </w:r>
      <w:r>
        <w:rPr>
          <w:rFonts w:eastAsia="Times New Roman"/>
          <w:color w:val="000000"/>
        </w:rPr>
        <w:br/>
      </w:r>
      <w:r>
        <w:rPr>
          <w:rFonts w:eastAsia="Times New Roman"/>
          <w:color w:val="000000"/>
        </w:rPr>
        <w:br/>
        <w:t>Дата видачi аудиторського висновку 17 квiтня 2015 р.</w:t>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r>
      <w:r>
        <w:rPr>
          <w:rFonts w:eastAsia="Times New Roman"/>
          <w:color w:val="000000"/>
        </w:rPr>
        <w:br/>
        <w:t>Цей аудиторський висновок складено в трьох оригiнальних примiрниках. З яких перший та другий примiрник отримано замовником 17 квiтня 2015р. Третiй примiрник аудиторського висновку знаходиться у справах аудиторської фiрми „ЮВМ – аудит”.</w:t>
      </w:r>
      <w:r>
        <w:rPr>
          <w:rFonts w:eastAsia="Times New Roman"/>
          <w:color w:val="000000"/>
        </w:rPr>
        <w:br/>
        <w:t>Керiвництво прийняло всi зауваження та рекомендацiї до уваги i претензiй до аудитора не має.</w:t>
      </w:r>
      <w:r>
        <w:rPr>
          <w:rFonts w:eastAsia="Times New Roman"/>
          <w:color w:val="000000"/>
        </w:rPr>
        <w:br/>
      </w:r>
      <w:r>
        <w:rPr>
          <w:rFonts w:eastAsia="Times New Roman"/>
          <w:color w:val="000000"/>
        </w:rPr>
        <w:br/>
        <w:t>Керiвник ________________________</w:t>
      </w:r>
    </w:p>
    <w:p w:rsidR="00A523C1" w:rsidRDefault="00A523C1" w:rsidP="00A523C1">
      <w:pPr>
        <w:pStyle w:val="4"/>
        <w:rPr>
          <w:rFonts w:eastAsia="Times New Roman"/>
          <w:color w:val="000000"/>
        </w:rPr>
      </w:pPr>
      <w:r>
        <w:rPr>
          <w:rFonts w:eastAsia="Times New Roman"/>
          <w:color w:val="000000"/>
        </w:rPr>
        <w:t>Продовження тексту приміток</w:t>
      </w:r>
    </w:p>
    <w:p w:rsidR="00A523C1" w:rsidRDefault="00A523C1" w:rsidP="00A523C1">
      <w:pPr>
        <w:rPr>
          <w:rFonts w:eastAsia="Times New Roman"/>
          <w:color w:val="000000"/>
        </w:rPr>
      </w:pPr>
      <w:r>
        <w:rPr>
          <w:rFonts w:eastAsia="Times New Roman"/>
          <w:color w:val="000000"/>
        </w:rPr>
        <w:t>д/н</w:t>
      </w:r>
    </w:p>
    <w:p w:rsidR="00A523C1" w:rsidRDefault="00A523C1" w:rsidP="00A523C1">
      <w:pPr>
        <w:pStyle w:val="4"/>
        <w:rPr>
          <w:rFonts w:eastAsia="Times New Roman"/>
          <w:color w:val="000000"/>
        </w:rPr>
      </w:pPr>
      <w:r>
        <w:rPr>
          <w:rFonts w:eastAsia="Times New Roman"/>
          <w:color w:val="000000"/>
        </w:rPr>
        <w:t>Продовження тексту приміток</w:t>
      </w:r>
    </w:p>
    <w:p w:rsidR="00A523C1" w:rsidRDefault="00A523C1" w:rsidP="00A523C1">
      <w:pPr>
        <w:rPr>
          <w:rFonts w:eastAsia="Times New Roman"/>
          <w:color w:val="000000"/>
        </w:rPr>
      </w:pPr>
      <w:r>
        <w:rPr>
          <w:rFonts w:eastAsia="Times New Roman"/>
          <w:color w:val="000000"/>
        </w:rPr>
        <w:t>д/н</w:t>
      </w:r>
    </w:p>
    <w:p w:rsidR="00A523C1" w:rsidRDefault="00A523C1" w:rsidP="00A523C1">
      <w:pPr>
        <w:pStyle w:val="4"/>
        <w:rPr>
          <w:rFonts w:eastAsia="Times New Roman"/>
          <w:color w:val="000000"/>
        </w:rPr>
      </w:pPr>
      <w:r>
        <w:rPr>
          <w:rFonts w:eastAsia="Times New Roman"/>
          <w:color w:val="000000"/>
        </w:rPr>
        <w:t>Продовження тексту приміток</w:t>
      </w:r>
    </w:p>
    <w:p w:rsidR="00A523C1" w:rsidRDefault="00A523C1" w:rsidP="00A523C1">
      <w:pPr>
        <w:rPr>
          <w:rFonts w:eastAsia="Times New Roman"/>
          <w:color w:val="000000"/>
        </w:rPr>
      </w:pPr>
      <w:r>
        <w:rPr>
          <w:rFonts w:eastAsia="Times New Roman"/>
          <w:color w:val="000000"/>
        </w:rPr>
        <w:t>д/н</w:t>
      </w:r>
    </w:p>
    <w:p w:rsidR="00994C46" w:rsidRDefault="00A523C1"/>
    <w:sectPr w:rsidR="00994C46" w:rsidSect="00D13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523C1"/>
    <w:rsid w:val="000765C3"/>
    <w:rsid w:val="0033674D"/>
    <w:rsid w:val="00A523C1"/>
    <w:rsid w:val="00D13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3C1"/>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semiHidden/>
    <w:unhideWhenUsed/>
    <w:qFormat/>
    <w:rsid w:val="00A523C1"/>
    <w:pPr>
      <w:spacing w:after="300"/>
      <w:jc w:val="center"/>
      <w:outlineLvl w:val="2"/>
    </w:pPr>
    <w:rPr>
      <w:b/>
      <w:bCs/>
      <w:sz w:val="28"/>
      <w:szCs w:val="28"/>
    </w:rPr>
  </w:style>
  <w:style w:type="paragraph" w:styleId="4">
    <w:name w:val="heading 4"/>
    <w:basedOn w:val="a"/>
    <w:link w:val="40"/>
    <w:uiPriority w:val="9"/>
    <w:semiHidden/>
    <w:unhideWhenUsed/>
    <w:qFormat/>
    <w:rsid w:val="00A523C1"/>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523C1"/>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semiHidden/>
    <w:rsid w:val="00A523C1"/>
    <w:rPr>
      <w:rFonts w:ascii="Times New Roman" w:eastAsiaTheme="minorEastAsia" w:hAnsi="Times New Roman" w:cs="Times New Roman"/>
      <w:b/>
      <w:bCs/>
      <w:sz w:val="24"/>
      <w:szCs w:val="24"/>
      <w:lang w:eastAsia="ru-RU"/>
    </w:rPr>
  </w:style>
  <w:style w:type="paragraph" w:styleId="a3">
    <w:name w:val="Normal (Web)"/>
    <w:basedOn w:val="a"/>
    <w:uiPriority w:val="99"/>
    <w:semiHidden/>
    <w:unhideWhenUsed/>
    <w:rsid w:val="00A523C1"/>
    <w:pPr>
      <w:spacing w:before="100" w:beforeAutospacing="1" w:after="100" w:afterAutospacing="1"/>
    </w:pPr>
  </w:style>
  <w:style w:type="paragraph" w:customStyle="1" w:styleId="justify">
    <w:name w:val="justify"/>
    <w:basedOn w:val="a"/>
    <w:uiPriority w:val="99"/>
    <w:semiHidden/>
    <w:rsid w:val="00A523C1"/>
    <w:pPr>
      <w:spacing w:before="100" w:beforeAutospacing="1" w:after="100" w:afterAutospacing="1"/>
      <w:jc w:val="both"/>
    </w:pPr>
  </w:style>
  <w:style w:type="paragraph" w:customStyle="1" w:styleId="left">
    <w:name w:val="left"/>
    <w:basedOn w:val="a"/>
    <w:uiPriority w:val="99"/>
    <w:semiHidden/>
    <w:rsid w:val="00A523C1"/>
    <w:pPr>
      <w:spacing w:before="100" w:beforeAutospacing="1" w:after="100" w:afterAutospacing="1"/>
    </w:pPr>
  </w:style>
  <w:style w:type="paragraph" w:customStyle="1" w:styleId="right">
    <w:name w:val="right"/>
    <w:basedOn w:val="a"/>
    <w:uiPriority w:val="99"/>
    <w:semiHidden/>
    <w:rsid w:val="00A523C1"/>
    <w:pPr>
      <w:spacing w:before="100" w:beforeAutospacing="1" w:after="100" w:afterAutospacing="1"/>
      <w:jc w:val="right"/>
    </w:pPr>
  </w:style>
  <w:style w:type="paragraph" w:customStyle="1" w:styleId="center">
    <w:name w:val="center"/>
    <w:basedOn w:val="a"/>
    <w:uiPriority w:val="99"/>
    <w:semiHidden/>
    <w:rsid w:val="00A523C1"/>
    <w:pPr>
      <w:spacing w:before="100" w:beforeAutospacing="1" w:after="100" w:afterAutospacing="1"/>
      <w:jc w:val="center"/>
    </w:pPr>
  </w:style>
  <w:style w:type="paragraph" w:customStyle="1" w:styleId="bold">
    <w:name w:val="bold"/>
    <w:basedOn w:val="a"/>
    <w:uiPriority w:val="99"/>
    <w:semiHidden/>
    <w:rsid w:val="00A523C1"/>
    <w:pPr>
      <w:spacing w:before="100" w:beforeAutospacing="1" w:after="100" w:afterAutospacing="1"/>
    </w:pPr>
    <w:rPr>
      <w:b/>
      <w:bCs/>
    </w:rPr>
  </w:style>
  <w:style w:type="paragraph" w:customStyle="1" w:styleId="brdnone">
    <w:name w:val="brdnone"/>
    <w:basedOn w:val="a"/>
    <w:uiPriority w:val="99"/>
    <w:semiHidden/>
    <w:rsid w:val="00A523C1"/>
    <w:pPr>
      <w:spacing w:before="100" w:beforeAutospacing="1" w:after="100" w:afterAutospacing="1"/>
    </w:pPr>
  </w:style>
  <w:style w:type="paragraph" w:customStyle="1" w:styleId="brdbtm">
    <w:name w:val="brdbtm"/>
    <w:basedOn w:val="a"/>
    <w:uiPriority w:val="99"/>
    <w:semiHidden/>
    <w:rsid w:val="00A523C1"/>
    <w:pPr>
      <w:pBdr>
        <w:bottom w:val="single" w:sz="6" w:space="0" w:color="000000"/>
      </w:pBdr>
      <w:spacing w:before="100" w:beforeAutospacing="1" w:after="100" w:afterAutospacing="1"/>
    </w:pPr>
  </w:style>
  <w:style w:type="paragraph" w:customStyle="1" w:styleId="brdtop">
    <w:name w:val="brdtop"/>
    <w:basedOn w:val="a"/>
    <w:uiPriority w:val="99"/>
    <w:semiHidden/>
    <w:rsid w:val="00A523C1"/>
    <w:pPr>
      <w:pBdr>
        <w:top w:val="single" w:sz="6" w:space="0" w:color="000000"/>
      </w:pBdr>
      <w:spacing w:before="100" w:beforeAutospacing="1" w:after="100" w:afterAutospacing="1"/>
    </w:pPr>
  </w:style>
  <w:style w:type="paragraph" w:customStyle="1" w:styleId="brdall">
    <w:name w:val="brdall"/>
    <w:basedOn w:val="a"/>
    <w:uiPriority w:val="99"/>
    <w:semiHidden/>
    <w:rsid w:val="00A523C1"/>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uiPriority w:val="99"/>
    <w:semiHidden/>
    <w:rsid w:val="00A523C1"/>
    <w:pPr>
      <w:spacing w:before="100" w:beforeAutospacing="1" w:after="100" w:afterAutospacing="1"/>
    </w:pPr>
    <w:rPr>
      <w:sz w:val="20"/>
      <w:szCs w:val="20"/>
    </w:rPr>
  </w:style>
  <w:style w:type="paragraph" w:customStyle="1" w:styleId="pagebreak">
    <w:name w:val="pagebreak"/>
    <w:basedOn w:val="a"/>
    <w:uiPriority w:val="99"/>
    <w:semiHidden/>
    <w:rsid w:val="00A523C1"/>
    <w:pPr>
      <w:pageBreakBefore/>
      <w:spacing w:before="100" w:beforeAutospacing="1" w:after="100" w:afterAutospacing="1"/>
    </w:pPr>
  </w:style>
  <w:style w:type="character" w:customStyle="1" w:styleId="small-text1">
    <w:name w:val="small-text1"/>
    <w:basedOn w:val="a0"/>
    <w:rsid w:val="00A523C1"/>
    <w:rPr>
      <w:sz w:val="20"/>
      <w:szCs w:val="20"/>
    </w:rPr>
  </w:style>
  <w:style w:type="character" w:styleId="a4">
    <w:name w:val="Strong"/>
    <w:basedOn w:val="a0"/>
    <w:uiPriority w:val="22"/>
    <w:qFormat/>
    <w:rsid w:val="00A523C1"/>
    <w:rPr>
      <w:b/>
      <w:bCs/>
    </w:rPr>
  </w:style>
</w:styles>
</file>

<file path=word/webSettings.xml><?xml version="1.0" encoding="utf-8"?>
<w:webSettings xmlns:r="http://schemas.openxmlformats.org/officeDocument/2006/relationships" xmlns:w="http://schemas.openxmlformats.org/wordprocessingml/2006/main">
  <w:divs>
    <w:div w:id="83703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19580</Words>
  <Characters>111611</Characters>
  <Application>Microsoft Office Word</Application>
  <DocSecurity>0</DocSecurity>
  <Lines>930</Lines>
  <Paragraphs>261</Paragraphs>
  <ScaleCrop>false</ScaleCrop>
  <Company>Reanimator Extreme Edition</Company>
  <LinksUpToDate>false</LinksUpToDate>
  <CharactersWithSpaces>130930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2016-04-19T14:57:00Z</dcterms:created>
  <dcterms:modified xsi:type="dcterms:W3CDTF">2016-04-19T14:57:00Z</dcterms:modified>
</cp:coreProperties>
</file>